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F9C" w:rsidRPr="009B2B5B" w:rsidRDefault="00D71F9C" w:rsidP="00D71F9C">
      <w:pPr>
        <w:jc w:val="center"/>
        <w:rPr>
          <w:b/>
          <w:sz w:val="32"/>
          <w:szCs w:val="32"/>
        </w:rPr>
      </w:pPr>
      <w:r w:rsidRPr="009B2B5B">
        <w:rPr>
          <w:b/>
          <w:sz w:val="32"/>
          <w:szCs w:val="32"/>
        </w:rPr>
        <w:t>CABINET OLIVIER BOSSARD</w:t>
      </w:r>
    </w:p>
    <w:p w:rsidR="00D71F9C" w:rsidRPr="009B2B5B" w:rsidRDefault="00D71F9C" w:rsidP="00D71F9C">
      <w:pPr>
        <w:rPr>
          <w:sz w:val="32"/>
          <w:szCs w:val="32"/>
        </w:rPr>
      </w:pPr>
    </w:p>
    <w:p w:rsidR="00D71F9C" w:rsidRPr="009B2B5B" w:rsidRDefault="00D71F9C" w:rsidP="00D71F9C">
      <w:pPr>
        <w:rPr>
          <w:sz w:val="32"/>
          <w:szCs w:val="32"/>
        </w:rPr>
      </w:pPr>
    </w:p>
    <w:p w:rsidR="009B2B5B" w:rsidRDefault="009B2B5B" w:rsidP="00D71F9C">
      <w:pPr>
        <w:jc w:val="center"/>
        <w:rPr>
          <w:b/>
          <w:sz w:val="32"/>
          <w:szCs w:val="32"/>
        </w:rPr>
      </w:pPr>
    </w:p>
    <w:p w:rsidR="009B2B5B" w:rsidRDefault="009B2B5B" w:rsidP="00D71F9C">
      <w:pPr>
        <w:jc w:val="center"/>
        <w:rPr>
          <w:b/>
          <w:sz w:val="32"/>
          <w:szCs w:val="32"/>
        </w:rPr>
      </w:pPr>
    </w:p>
    <w:p w:rsidR="009B2B5B" w:rsidRDefault="009B2B5B" w:rsidP="00D71F9C">
      <w:pPr>
        <w:jc w:val="center"/>
        <w:rPr>
          <w:b/>
          <w:sz w:val="32"/>
          <w:szCs w:val="32"/>
        </w:rPr>
      </w:pPr>
    </w:p>
    <w:p w:rsidR="00D71F9C" w:rsidRPr="009B2B5B" w:rsidRDefault="00D71F9C" w:rsidP="00D71F9C">
      <w:pPr>
        <w:jc w:val="center"/>
        <w:rPr>
          <w:b/>
          <w:sz w:val="32"/>
          <w:szCs w:val="32"/>
        </w:rPr>
      </w:pPr>
      <w:r w:rsidRPr="009B2B5B">
        <w:rPr>
          <w:b/>
          <w:sz w:val="32"/>
          <w:szCs w:val="32"/>
        </w:rPr>
        <w:t>RAPPORT DE TRANSPARENCE PUBLI</w:t>
      </w:r>
      <w:r w:rsidR="009B2B5B">
        <w:rPr>
          <w:b/>
          <w:sz w:val="32"/>
          <w:szCs w:val="32"/>
        </w:rPr>
        <w:t>E</w:t>
      </w:r>
      <w:r w:rsidRPr="009B2B5B">
        <w:rPr>
          <w:b/>
          <w:sz w:val="32"/>
          <w:szCs w:val="32"/>
        </w:rPr>
        <w:t xml:space="preserve"> SUR LE SITE</w:t>
      </w:r>
    </w:p>
    <w:p w:rsidR="00D71F9C" w:rsidRPr="009B2B5B" w:rsidRDefault="00D71F9C" w:rsidP="00D71F9C">
      <w:pPr>
        <w:jc w:val="center"/>
        <w:rPr>
          <w:b/>
          <w:sz w:val="32"/>
          <w:szCs w:val="32"/>
        </w:rPr>
      </w:pPr>
      <w:r w:rsidRPr="009B2B5B">
        <w:rPr>
          <w:b/>
          <w:sz w:val="32"/>
          <w:szCs w:val="32"/>
        </w:rPr>
        <w:t>EN APPLICATION DES DISPOSITIONS DE L’ARTICLE R.823.21 DU CODE DE COMMERCE</w:t>
      </w:r>
    </w:p>
    <w:p w:rsidR="00D71F9C" w:rsidRPr="009B2B5B" w:rsidRDefault="00D71F9C" w:rsidP="00D71F9C">
      <w:pPr>
        <w:jc w:val="center"/>
        <w:rPr>
          <w:b/>
          <w:sz w:val="32"/>
          <w:szCs w:val="32"/>
        </w:rPr>
      </w:pPr>
    </w:p>
    <w:p w:rsidR="009B2B5B" w:rsidRDefault="009B2B5B" w:rsidP="00D71F9C">
      <w:pPr>
        <w:jc w:val="center"/>
        <w:rPr>
          <w:b/>
          <w:sz w:val="32"/>
          <w:szCs w:val="32"/>
        </w:rPr>
      </w:pPr>
    </w:p>
    <w:p w:rsidR="009B2B5B" w:rsidRDefault="009B2B5B" w:rsidP="00D71F9C">
      <w:pPr>
        <w:jc w:val="center"/>
        <w:rPr>
          <w:b/>
          <w:sz w:val="32"/>
          <w:szCs w:val="32"/>
        </w:rPr>
      </w:pPr>
    </w:p>
    <w:p w:rsidR="00D71F9C" w:rsidRPr="009B2B5B" w:rsidRDefault="00D71F9C" w:rsidP="00D71F9C">
      <w:pPr>
        <w:jc w:val="center"/>
        <w:rPr>
          <w:b/>
          <w:sz w:val="32"/>
          <w:szCs w:val="32"/>
        </w:rPr>
      </w:pPr>
      <w:r w:rsidRPr="009B2B5B">
        <w:rPr>
          <w:b/>
          <w:sz w:val="32"/>
          <w:szCs w:val="32"/>
        </w:rPr>
        <w:t>E</w:t>
      </w:r>
      <w:r w:rsidR="00F80AA4">
        <w:rPr>
          <w:b/>
          <w:sz w:val="32"/>
          <w:szCs w:val="32"/>
        </w:rPr>
        <w:t>XERCICE CLOS LE 31 DECEMBRE 201</w:t>
      </w:r>
      <w:r w:rsidR="00CB0FB5">
        <w:rPr>
          <w:b/>
          <w:sz w:val="32"/>
          <w:szCs w:val="32"/>
        </w:rPr>
        <w:t>6</w:t>
      </w:r>
    </w:p>
    <w:p w:rsidR="005F20CD" w:rsidRDefault="005F20CD"/>
    <w:p w:rsidR="00D71F9C" w:rsidRDefault="00D71F9C"/>
    <w:p w:rsidR="00D71F9C" w:rsidRDefault="00D71F9C"/>
    <w:p w:rsidR="00D71F9C" w:rsidRDefault="00D71F9C"/>
    <w:p w:rsidR="00D71F9C" w:rsidRDefault="00D71F9C"/>
    <w:p w:rsidR="00D71F9C" w:rsidRDefault="00D71F9C"/>
    <w:p w:rsidR="00D71F9C" w:rsidRDefault="00D71F9C"/>
    <w:p w:rsidR="00D71F9C" w:rsidRDefault="00D71F9C"/>
    <w:p w:rsidR="00D71F9C" w:rsidRDefault="00D71F9C"/>
    <w:p w:rsidR="00D71F9C" w:rsidRDefault="00D71F9C"/>
    <w:p w:rsidR="00D71F9C" w:rsidRDefault="00D71F9C"/>
    <w:p w:rsidR="00D71F9C" w:rsidRDefault="00D71F9C"/>
    <w:p w:rsidR="00D71F9C" w:rsidRDefault="00D71F9C"/>
    <w:p w:rsidR="0095582F" w:rsidRDefault="00CB0FB5">
      <w:pPr>
        <w:sectPr w:rsidR="0095582F">
          <w:pgSz w:w="11906" w:h="16838"/>
          <w:pgMar w:top="1417" w:right="1417" w:bottom="1417" w:left="1417" w:header="708" w:footer="708" w:gutter="0"/>
          <w:cols w:space="708"/>
          <w:docGrid w:linePitch="360"/>
        </w:sectPr>
      </w:pPr>
      <w:r>
        <w:t>Mars 2017</w:t>
      </w:r>
    </w:p>
    <w:p w:rsidR="00D71F9C" w:rsidRDefault="00D71F9C" w:rsidP="00D71F9C">
      <w:pPr>
        <w:pStyle w:val="Titre1"/>
      </w:pPr>
      <w:r>
        <w:lastRenderedPageBreak/>
        <w:t>Présentation du Cabinet Olivier BOSSARD</w:t>
      </w:r>
    </w:p>
    <w:p w:rsidR="00D71F9C" w:rsidRDefault="00D71F9C" w:rsidP="00D71F9C">
      <w:pPr>
        <w:pStyle w:val="Titre1"/>
      </w:pPr>
      <w:r>
        <w:t>Clients</w:t>
      </w:r>
    </w:p>
    <w:p w:rsidR="00D71F9C" w:rsidRDefault="00D71F9C" w:rsidP="00D71F9C">
      <w:pPr>
        <w:pStyle w:val="Titre2"/>
        <w:ind w:left="1418"/>
      </w:pPr>
      <w:r>
        <w:t>Chiffre d’affaires</w:t>
      </w:r>
    </w:p>
    <w:p w:rsidR="00D71F9C" w:rsidRDefault="00D71F9C" w:rsidP="00D71F9C">
      <w:pPr>
        <w:pStyle w:val="Titre2"/>
        <w:ind w:left="1418"/>
      </w:pPr>
      <w:r>
        <w:t>Clients faisant appel public à l’épargne</w:t>
      </w:r>
    </w:p>
    <w:p w:rsidR="00D71F9C" w:rsidRDefault="00D71F9C" w:rsidP="00D71F9C"/>
    <w:p w:rsidR="00D71F9C" w:rsidRDefault="00D71F9C" w:rsidP="00D71F9C">
      <w:pPr>
        <w:pStyle w:val="Titre1"/>
      </w:pPr>
      <w:r>
        <w:t>RESSOURCES HUMAINES</w:t>
      </w:r>
    </w:p>
    <w:p w:rsidR="00D71F9C" w:rsidRDefault="00D71F9C" w:rsidP="00D71F9C">
      <w:pPr>
        <w:pStyle w:val="Titre2"/>
        <w:ind w:left="1418"/>
      </w:pPr>
      <w:r>
        <w:t>Collaborateurs</w:t>
      </w:r>
    </w:p>
    <w:p w:rsidR="00D71F9C" w:rsidRDefault="00D71F9C" w:rsidP="00D71F9C">
      <w:pPr>
        <w:pStyle w:val="Titre2"/>
        <w:ind w:left="1418"/>
      </w:pPr>
      <w:r>
        <w:t>Associés</w:t>
      </w:r>
    </w:p>
    <w:p w:rsidR="00D71F9C" w:rsidRDefault="00D71F9C" w:rsidP="00D71F9C">
      <w:pPr>
        <w:pStyle w:val="Titre2"/>
        <w:ind w:left="1418"/>
      </w:pPr>
      <w:r>
        <w:t>Formation continue</w:t>
      </w:r>
    </w:p>
    <w:p w:rsidR="00D71F9C" w:rsidRDefault="00D71F9C" w:rsidP="00D71F9C">
      <w:pPr>
        <w:pStyle w:val="Titre3"/>
        <w:ind w:left="2127"/>
      </w:pPr>
      <w:r>
        <w:t>Formation des collaborateurs</w:t>
      </w:r>
    </w:p>
    <w:p w:rsidR="00D71F9C" w:rsidRDefault="00F46720" w:rsidP="00F46720">
      <w:pPr>
        <w:pStyle w:val="Titre3"/>
        <w:ind w:left="2127"/>
      </w:pPr>
      <w:r>
        <w:t>Formation des associés</w:t>
      </w:r>
    </w:p>
    <w:p w:rsidR="00F46720" w:rsidRDefault="00F46720" w:rsidP="00F46720"/>
    <w:p w:rsidR="00F46720" w:rsidRDefault="00F46720" w:rsidP="00F46720">
      <w:pPr>
        <w:pStyle w:val="Titre1"/>
      </w:pPr>
      <w:r>
        <w:t>Gouvernance</w:t>
      </w:r>
    </w:p>
    <w:p w:rsidR="00F46720" w:rsidRDefault="009D4027" w:rsidP="00F46720">
      <w:pPr>
        <w:pStyle w:val="Titre2"/>
        <w:ind w:left="1418"/>
      </w:pPr>
      <w:r>
        <w:t>Organes de gouvernance</w:t>
      </w:r>
    </w:p>
    <w:p w:rsidR="00F46720" w:rsidRDefault="00F46720" w:rsidP="00F46720">
      <w:pPr>
        <w:pStyle w:val="Titre2"/>
        <w:ind w:left="1418"/>
      </w:pPr>
      <w:r>
        <w:t>Gestion des activités du cabinet</w:t>
      </w:r>
    </w:p>
    <w:p w:rsidR="00F46720" w:rsidRDefault="00F46720" w:rsidP="00F46720"/>
    <w:p w:rsidR="00F46720" w:rsidRDefault="00F46720" w:rsidP="00F46720">
      <w:pPr>
        <w:pStyle w:val="Titre1"/>
      </w:pPr>
      <w:r>
        <w:t>GESTION RISQUES</w:t>
      </w:r>
    </w:p>
    <w:p w:rsidR="00F46720" w:rsidRDefault="00F46720" w:rsidP="00F46720">
      <w:pPr>
        <w:pStyle w:val="Titre2"/>
        <w:ind w:left="1418"/>
      </w:pPr>
      <w:r>
        <w:t>Indépendance</w:t>
      </w:r>
      <w:r>
        <w:tab/>
      </w:r>
    </w:p>
    <w:p w:rsidR="00F46720" w:rsidRDefault="00F46720" w:rsidP="00F46720">
      <w:pPr>
        <w:pStyle w:val="Titre3"/>
        <w:ind w:left="2127"/>
      </w:pPr>
      <w:r>
        <w:t>Déclarations d’indépendance et contrats de travail</w:t>
      </w:r>
    </w:p>
    <w:p w:rsidR="00F46720" w:rsidRDefault="00F46720" w:rsidP="00F46720">
      <w:pPr>
        <w:pStyle w:val="Titre3"/>
        <w:ind w:left="2127"/>
      </w:pPr>
      <w:r>
        <w:t>Analyse du portefeuille des mandats</w:t>
      </w:r>
    </w:p>
    <w:p w:rsidR="00F46720" w:rsidRDefault="00F46720" w:rsidP="00F46720">
      <w:pPr>
        <w:pStyle w:val="Titre3"/>
        <w:ind w:left="2127"/>
      </w:pPr>
      <w:r>
        <w:t>Acceptation d’une mission de commissariat aux comptes</w:t>
      </w:r>
    </w:p>
    <w:p w:rsidR="00F46720" w:rsidRDefault="00F46720" w:rsidP="00F46720">
      <w:pPr>
        <w:pStyle w:val="Titre3"/>
        <w:ind w:left="2127"/>
      </w:pPr>
      <w:r>
        <w:t>Respect des obligations de rotation</w:t>
      </w:r>
    </w:p>
    <w:p w:rsidR="00F46720" w:rsidRDefault="00F46720" w:rsidP="00F46720"/>
    <w:p w:rsidR="00F46720" w:rsidRDefault="00F46720" w:rsidP="00F46720">
      <w:pPr>
        <w:pStyle w:val="Titre2"/>
        <w:ind w:left="1276"/>
      </w:pPr>
      <w:r>
        <w:t>Contrôle Qualité</w:t>
      </w:r>
    </w:p>
    <w:p w:rsidR="00F46720" w:rsidRDefault="00F46720" w:rsidP="00FD2B03">
      <w:pPr>
        <w:pStyle w:val="Titre3"/>
        <w:ind w:left="2127"/>
      </w:pPr>
      <w:r>
        <w:t>Contrôle qualité des dossiers</w:t>
      </w:r>
    </w:p>
    <w:p w:rsidR="00F46720" w:rsidRDefault="00F46720" w:rsidP="00FD2B03">
      <w:pPr>
        <w:pStyle w:val="Titre3"/>
        <w:ind w:left="2127"/>
      </w:pPr>
      <w:r>
        <w:t xml:space="preserve">Contrôle qualité indépendant réalisé par l’association ATH </w:t>
      </w:r>
    </w:p>
    <w:p w:rsidR="00F46720" w:rsidRDefault="00F46720" w:rsidP="00FD2B03">
      <w:pPr>
        <w:pStyle w:val="Titre3"/>
        <w:ind w:left="2127"/>
      </w:pPr>
      <w:r>
        <w:t>Contrôle qualité périodique mentionné à l’article L821-7 du Code de commerce</w:t>
      </w:r>
    </w:p>
    <w:p w:rsidR="00F46720" w:rsidRDefault="00F46720" w:rsidP="00FD2B03">
      <w:pPr>
        <w:pStyle w:val="Titre3"/>
        <w:ind w:left="2127"/>
      </w:pPr>
      <w:r>
        <w:t>Vérification de l’efficacité du système de gestion des risques</w:t>
      </w:r>
    </w:p>
    <w:p w:rsidR="00FD2B03" w:rsidRDefault="00FD2B03" w:rsidP="00FD2B03"/>
    <w:p w:rsidR="00FD2B03" w:rsidRDefault="00FD2B03" w:rsidP="00FD2B03">
      <w:pPr>
        <w:pStyle w:val="Titre1"/>
      </w:pPr>
      <w:r>
        <w:t>DECLARATIONS SPECIFIQUES</w:t>
      </w:r>
    </w:p>
    <w:p w:rsidR="00FD2B03" w:rsidRPr="00FD2B03" w:rsidRDefault="00FD2B03" w:rsidP="00FD2B03"/>
    <w:p w:rsidR="00F46720" w:rsidRPr="00F46720" w:rsidRDefault="00F46720" w:rsidP="00F46720">
      <w:pPr>
        <w:ind w:left="700"/>
      </w:pPr>
    </w:p>
    <w:p w:rsidR="00F46720" w:rsidRDefault="00F46720" w:rsidP="00F46720"/>
    <w:p w:rsidR="00FD2B03" w:rsidRPr="00FD2B03" w:rsidRDefault="00FD2B03" w:rsidP="00FD2B03">
      <w:pPr>
        <w:jc w:val="center"/>
        <w:rPr>
          <w:b/>
        </w:rPr>
      </w:pPr>
      <w:r w:rsidRPr="00FD2B03">
        <w:rPr>
          <w:b/>
        </w:rPr>
        <w:lastRenderedPageBreak/>
        <w:t>PREAMBULE</w:t>
      </w:r>
    </w:p>
    <w:p w:rsidR="00FD2B03" w:rsidRDefault="00FD2B03" w:rsidP="00F46720"/>
    <w:p w:rsidR="00FD2B03" w:rsidRDefault="00FD2B03" w:rsidP="00F46720"/>
    <w:p w:rsidR="00FD2B03" w:rsidRDefault="00FD2B03" w:rsidP="00D7725A">
      <w:pPr>
        <w:jc w:val="both"/>
      </w:pPr>
      <w:r>
        <w:t>En application de l’article R.823-21 du Code de commerce, les commissaires aux comptes désignés auprès de personnes ou d’entités dont les titres financiers sont admis aux négociations sur un marché réglementé ou a</w:t>
      </w:r>
      <w:r w:rsidR="00686751">
        <w:t>u</w:t>
      </w:r>
      <w:r>
        <w:t>près d’établissements de crédit publient sur leur site internet, dans les trois mois suivant la clôture de l’exercice, un rapport de transparence.</w:t>
      </w:r>
    </w:p>
    <w:p w:rsidR="00FD2B03" w:rsidRDefault="00FD2B03" w:rsidP="00D7725A">
      <w:pPr>
        <w:jc w:val="both"/>
      </w:pPr>
    </w:p>
    <w:p w:rsidR="00FD2B03" w:rsidRDefault="00FD2B03" w:rsidP="00D7725A">
      <w:pPr>
        <w:jc w:val="both"/>
      </w:pPr>
      <w:r>
        <w:t>Les informations figurant dans le présent rapport de transparence publié sur le site, concernent l’ensemble des entités constituant le Cabinet Olivier BOSSARD :</w:t>
      </w:r>
    </w:p>
    <w:p w:rsidR="00FD2B03" w:rsidRDefault="008D6D93" w:rsidP="00D7725A">
      <w:pPr>
        <w:jc w:val="both"/>
      </w:pPr>
      <w:r>
        <w:t>Personne physique :</w:t>
      </w:r>
    </w:p>
    <w:p w:rsidR="00FD2B03" w:rsidRDefault="00FD2B03" w:rsidP="00D7725A">
      <w:pPr>
        <w:pStyle w:val="Paragraphedeliste"/>
        <w:numPr>
          <w:ilvl w:val="0"/>
          <w:numId w:val="4"/>
        </w:numPr>
        <w:jc w:val="both"/>
      </w:pPr>
      <w:r>
        <w:t>Olivier BOSSARD</w:t>
      </w:r>
    </w:p>
    <w:p w:rsidR="008D6D93" w:rsidRDefault="008D6D93" w:rsidP="008D6D93">
      <w:pPr>
        <w:pStyle w:val="Paragraphedeliste"/>
        <w:jc w:val="both"/>
      </w:pPr>
    </w:p>
    <w:p w:rsidR="008D6D93" w:rsidRDefault="008D6D93" w:rsidP="008D6D93">
      <w:pPr>
        <w:pStyle w:val="Paragraphedeliste"/>
        <w:ind w:left="0"/>
        <w:jc w:val="both"/>
      </w:pPr>
      <w:r>
        <w:t xml:space="preserve">Personnes morales : </w:t>
      </w:r>
    </w:p>
    <w:p w:rsidR="00FD2B03" w:rsidRDefault="00FD2B03" w:rsidP="00D7725A">
      <w:pPr>
        <w:pStyle w:val="Paragraphedeliste"/>
        <w:numPr>
          <w:ilvl w:val="0"/>
          <w:numId w:val="4"/>
        </w:numPr>
        <w:jc w:val="both"/>
      </w:pPr>
      <w:r>
        <w:t>AB ENTREPRISE</w:t>
      </w:r>
      <w:r w:rsidR="008D6D93">
        <w:t xml:space="preserve"> SARL</w:t>
      </w:r>
    </w:p>
    <w:p w:rsidR="00FD2B03" w:rsidRDefault="00FD2B03" w:rsidP="00D7725A">
      <w:pPr>
        <w:pStyle w:val="Paragraphedeliste"/>
        <w:numPr>
          <w:ilvl w:val="0"/>
          <w:numId w:val="4"/>
        </w:numPr>
        <w:jc w:val="both"/>
      </w:pPr>
      <w:r>
        <w:t>FIDUCIAIRE AUDIT EXPANSION</w:t>
      </w:r>
      <w:r w:rsidR="008D6D93">
        <w:t xml:space="preserve"> SAS</w:t>
      </w:r>
    </w:p>
    <w:p w:rsidR="00FD2B03" w:rsidRDefault="00FD2B03" w:rsidP="00D7725A">
      <w:pPr>
        <w:pStyle w:val="Paragraphedeliste"/>
        <w:numPr>
          <w:ilvl w:val="0"/>
          <w:numId w:val="4"/>
        </w:numPr>
        <w:jc w:val="both"/>
      </w:pPr>
      <w:r>
        <w:t>FIGEREC</w:t>
      </w:r>
      <w:r w:rsidR="008D6D93">
        <w:t xml:space="preserve"> SARL</w:t>
      </w:r>
    </w:p>
    <w:p w:rsidR="002C2E4F" w:rsidRDefault="002C2E4F" w:rsidP="00D7725A">
      <w:pPr>
        <w:pStyle w:val="Paragraphedeliste"/>
        <w:numPr>
          <w:ilvl w:val="0"/>
          <w:numId w:val="4"/>
        </w:numPr>
        <w:jc w:val="both"/>
      </w:pPr>
      <w:r>
        <w:t>SECORA SARL</w:t>
      </w:r>
    </w:p>
    <w:p w:rsidR="00FD2B03" w:rsidRPr="00F46720" w:rsidRDefault="00FD2B03" w:rsidP="00D7725A">
      <w:pPr>
        <w:jc w:val="both"/>
      </w:pPr>
      <w:r>
        <w:t>Lors de l’exercice clos le 3</w:t>
      </w:r>
      <w:r w:rsidR="00295713">
        <w:t>1 décembre 2016</w:t>
      </w:r>
      <w:bookmarkStart w:id="0" w:name="_GoBack"/>
      <w:bookmarkEnd w:id="0"/>
      <w:r>
        <w:t>, le Cabinet Olivier BOSSARD a été titulaire de mandats de commissaire aux comptes de sociétés dont les titres financiers sont admis aux négociations sur un marché règlementé. Aucune des sociétés composant le Cabinet Olivier BOSSARD n’a exercé de mandat de commissaire aux comptes auprès d’un établissement de crédit.</w:t>
      </w:r>
    </w:p>
    <w:p w:rsidR="00F46720" w:rsidRDefault="00F46720" w:rsidP="00D7725A">
      <w:pPr>
        <w:ind w:left="2127"/>
        <w:jc w:val="both"/>
      </w:pPr>
    </w:p>
    <w:p w:rsidR="0058439E" w:rsidRDefault="0058439E" w:rsidP="00F46720">
      <w:pPr>
        <w:ind w:left="2127"/>
      </w:pPr>
    </w:p>
    <w:p w:rsidR="0058439E" w:rsidRDefault="0058439E" w:rsidP="00F46720">
      <w:pPr>
        <w:ind w:left="2127"/>
      </w:pPr>
    </w:p>
    <w:p w:rsidR="0058439E" w:rsidRDefault="0058439E" w:rsidP="00F46720">
      <w:pPr>
        <w:ind w:left="2127"/>
      </w:pPr>
    </w:p>
    <w:p w:rsidR="0058439E" w:rsidRDefault="0058439E" w:rsidP="00F46720">
      <w:pPr>
        <w:ind w:left="2127"/>
      </w:pPr>
    </w:p>
    <w:p w:rsidR="0058439E" w:rsidRDefault="0058439E" w:rsidP="00F46720">
      <w:pPr>
        <w:ind w:left="2127"/>
      </w:pPr>
    </w:p>
    <w:p w:rsidR="0058439E" w:rsidRDefault="0058439E" w:rsidP="00F46720">
      <w:pPr>
        <w:ind w:left="2127"/>
      </w:pPr>
    </w:p>
    <w:p w:rsidR="0058439E" w:rsidRDefault="0058439E" w:rsidP="00F46720">
      <w:pPr>
        <w:ind w:left="2127"/>
      </w:pPr>
    </w:p>
    <w:p w:rsidR="0058439E" w:rsidRDefault="0058439E" w:rsidP="00F46720">
      <w:pPr>
        <w:ind w:left="2127"/>
      </w:pPr>
    </w:p>
    <w:p w:rsidR="0058439E" w:rsidRDefault="0058439E" w:rsidP="00F46720">
      <w:pPr>
        <w:ind w:left="2127"/>
      </w:pPr>
    </w:p>
    <w:p w:rsidR="0058439E" w:rsidRDefault="0058439E" w:rsidP="00F46720">
      <w:pPr>
        <w:ind w:left="2127"/>
      </w:pPr>
    </w:p>
    <w:p w:rsidR="0058439E" w:rsidRDefault="0058439E" w:rsidP="00F46720">
      <w:pPr>
        <w:ind w:left="2127"/>
      </w:pPr>
    </w:p>
    <w:p w:rsidR="0058439E" w:rsidRDefault="0058439E" w:rsidP="00F46720">
      <w:pPr>
        <w:ind w:left="2127"/>
      </w:pPr>
    </w:p>
    <w:p w:rsidR="0058439E" w:rsidRDefault="0058439E" w:rsidP="00F46720">
      <w:pPr>
        <w:ind w:left="2127"/>
      </w:pPr>
    </w:p>
    <w:p w:rsidR="0058439E" w:rsidRDefault="0058439E" w:rsidP="00F46720">
      <w:pPr>
        <w:ind w:left="2127"/>
      </w:pPr>
    </w:p>
    <w:p w:rsidR="0058439E" w:rsidRDefault="0058439E" w:rsidP="00854E1D">
      <w:pPr>
        <w:pStyle w:val="Titre1"/>
        <w:numPr>
          <w:ilvl w:val="0"/>
          <w:numId w:val="10"/>
        </w:numPr>
      </w:pPr>
      <w:r>
        <w:t>Présentation du Cabinet Olivier BOSSARD</w:t>
      </w:r>
    </w:p>
    <w:p w:rsidR="00D7725A" w:rsidRDefault="00D7725A" w:rsidP="0058439E"/>
    <w:p w:rsidR="0058439E" w:rsidRDefault="0058439E" w:rsidP="00D7725A">
      <w:pPr>
        <w:jc w:val="both"/>
      </w:pPr>
      <w:r>
        <w:t xml:space="preserve">Fondé en 1987 par Olivier BOSSARD, le cabinet Olivier BOSSARD est un groupe indépendant, </w:t>
      </w:r>
      <w:r w:rsidR="008D6D93">
        <w:t xml:space="preserve">qui n’est </w:t>
      </w:r>
      <w:r>
        <w:t xml:space="preserve">membre d’aucun réseau. Il intervient dans les différents domaines de l’audit et du conseil </w:t>
      </w:r>
      <w:r w:rsidR="008D6D93">
        <w:t>et de l’expertise destinés</w:t>
      </w:r>
      <w:r>
        <w:t xml:space="preserve"> aux entreprises :</w:t>
      </w:r>
    </w:p>
    <w:p w:rsidR="0058439E" w:rsidRDefault="0058439E" w:rsidP="00D7725A">
      <w:pPr>
        <w:pStyle w:val="Paragraphedeliste"/>
        <w:numPr>
          <w:ilvl w:val="0"/>
          <w:numId w:val="4"/>
        </w:numPr>
        <w:jc w:val="both"/>
      </w:pPr>
      <w:r>
        <w:t>Commissariat aux comptes,</w:t>
      </w:r>
    </w:p>
    <w:p w:rsidR="0058439E" w:rsidRDefault="0058439E" w:rsidP="00D7725A">
      <w:pPr>
        <w:pStyle w:val="Paragraphedeliste"/>
        <w:numPr>
          <w:ilvl w:val="0"/>
          <w:numId w:val="4"/>
        </w:numPr>
        <w:jc w:val="both"/>
      </w:pPr>
      <w:r>
        <w:t>Audit contractuel</w:t>
      </w:r>
    </w:p>
    <w:p w:rsidR="0058439E" w:rsidRDefault="0058439E" w:rsidP="00D7725A">
      <w:pPr>
        <w:pStyle w:val="Paragraphedeliste"/>
        <w:numPr>
          <w:ilvl w:val="0"/>
          <w:numId w:val="4"/>
        </w:numPr>
        <w:jc w:val="both"/>
      </w:pPr>
      <w:r>
        <w:t>Commissariat aux apports et à la fusion,</w:t>
      </w:r>
    </w:p>
    <w:p w:rsidR="00C81453" w:rsidRDefault="00C81453" w:rsidP="00D7725A">
      <w:pPr>
        <w:pStyle w:val="Paragraphedeliste"/>
        <w:numPr>
          <w:ilvl w:val="0"/>
          <w:numId w:val="4"/>
        </w:numPr>
        <w:jc w:val="both"/>
      </w:pPr>
      <w:r>
        <w:t>Expertise comptable,</w:t>
      </w:r>
    </w:p>
    <w:p w:rsidR="0058439E" w:rsidRDefault="0058439E" w:rsidP="00D7725A">
      <w:pPr>
        <w:pStyle w:val="Paragraphedeliste"/>
        <w:numPr>
          <w:ilvl w:val="0"/>
          <w:numId w:val="4"/>
        </w:numPr>
        <w:jc w:val="both"/>
      </w:pPr>
      <w:r>
        <w:t>Expertise indépendante,</w:t>
      </w:r>
    </w:p>
    <w:p w:rsidR="0058439E" w:rsidRDefault="0058439E" w:rsidP="00D7725A">
      <w:pPr>
        <w:pStyle w:val="Paragraphedeliste"/>
        <w:numPr>
          <w:ilvl w:val="0"/>
          <w:numId w:val="4"/>
        </w:numPr>
        <w:jc w:val="both"/>
      </w:pPr>
      <w:r>
        <w:t>Evaluations,</w:t>
      </w:r>
    </w:p>
    <w:p w:rsidR="0058439E" w:rsidRDefault="0058439E" w:rsidP="00D7725A">
      <w:pPr>
        <w:pStyle w:val="Paragraphedeliste"/>
        <w:numPr>
          <w:ilvl w:val="0"/>
          <w:numId w:val="4"/>
        </w:numPr>
        <w:jc w:val="both"/>
      </w:pPr>
      <w:r>
        <w:t>Due diligences d’acquisition et due diligences vendeur,</w:t>
      </w:r>
    </w:p>
    <w:p w:rsidR="0058439E" w:rsidRDefault="0058439E" w:rsidP="00D7725A">
      <w:pPr>
        <w:pStyle w:val="Paragraphedeliste"/>
        <w:numPr>
          <w:ilvl w:val="0"/>
          <w:numId w:val="4"/>
        </w:numPr>
        <w:jc w:val="both"/>
      </w:pPr>
      <w:r>
        <w:t>Accompagnement de projets financiers.</w:t>
      </w:r>
    </w:p>
    <w:p w:rsidR="0058439E" w:rsidRPr="0058439E" w:rsidRDefault="0058439E" w:rsidP="00D7725A">
      <w:pPr>
        <w:jc w:val="both"/>
      </w:pPr>
      <w:r>
        <w:t>Le cabinet comprend quatre sociétés : AB ENTREPRISE – FIDUCIAIRE AUDIT EXPANSION – FIGEREC - SECORA</w:t>
      </w:r>
    </w:p>
    <w:p w:rsidR="0058439E" w:rsidRPr="00F46720" w:rsidRDefault="0058439E" w:rsidP="0058439E"/>
    <w:p w:rsidR="00F46720" w:rsidRPr="00F46720" w:rsidRDefault="00F46720" w:rsidP="00F46720"/>
    <w:p w:rsidR="00F46720" w:rsidRPr="00F46720" w:rsidRDefault="00F46720" w:rsidP="00F46720">
      <w:pPr>
        <w:ind w:left="432"/>
      </w:pPr>
    </w:p>
    <w:bookmarkStart w:id="1" w:name="_MON_1494741513"/>
    <w:bookmarkEnd w:id="1"/>
    <w:p w:rsidR="00F46720" w:rsidRPr="00F46720" w:rsidRDefault="0095582F" w:rsidP="00F46720">
      <w:r>
        <w:object w:dxaOrig="8417" w:dyaOrig="5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9.75pt;height:225.75pt" o:ole="">
            <v:imagedata r:id="rId8" o:title=""/>
          </v:shape>
          <o:OLEObject Type="Embed" ProgID="Excel.Sheet.12" ShapeID="_x0000_i1025" DrawAspect="Content" ObjectID="_1579421083" r:id="rId9"/>
        </w:object>
      </w:r>
    </w:p>
    <w:p w:rsidR="00D71F9C" w:rsidRPr="00D71F9C" w:rsidRDefault="00D71F9C" w:rsidP="00D71F9C">
      <w:pPr>
        <w:ind w:left="1418"/>
      </w:pPr>
      <w:r>
        <w:tab/>
      </w:r>
    </w:p>
    <w:p w:rsidR="00D71F9C" w:rsidRDefault="00D71F9C" w:rsidP="00D71F9C"/>
    <w:p w:rsidR="00D57266" w:rsidRDefault="00D57266" w:rsidP="00D71F9C"/>
    <w:p w:rsidR="00680D30" w:rsidRDefault="00680D30" w:rsidP="00D71F9C"/>
    <w:p w:rsidR="00680D30" w:rsidRDefault="00680D30" w:rsidP="00D71F9C"/>
    <w:p w:rsidR="00D57266" w:rsidRDefault="008D6D93" w:rsidP="00D7725A">
      <w:pPr>
        <w:jc w:val="both"/>
      </w:pPr>
      <w:r>
        <w:lastRenderedPageBreak/>
        <w:t>Le cabinet libéral d’Olivier BOSSARD ainsi que les sociétés FIGEREC et FIDUCIAIRE AUDIT EXPANSION</w:t>
      </w:r>
      <w:r w:rsidR="00D57266">
        <w:t xml:space="preserve"> et leurs </w:t>
      </w:r>
      <w:r w:rsidR="00680D30">
        <w:t xml:space="preserve">associés exercent leur activité dans un établissement unique situé à Levallois Perret 69 Rue Carnot, et appliquent </w:t>
      </w:r>
      <w:r w:rsidR="00C81453">
        <w:t>d</w:t>
      </w:r>
      <w:r w:rsidR="00680D30">
        <w:t>es procédures communes.</w:t>
      </w:r>
    </w:p>
    <w:p w:rsidR="00680D30" w:rsidRDefault="008D6D93" w:rsidP="00D7725A">
      <w:pPr>
        <w:jc w:val="both"/>
      </w:pPr>
      <w:r>
        <w:t xml:space="preserve">La SARL SECORA exerce son activité d’expertise comptable dans un établissement unique situé 385 Route de Vannes à Saint-Herblain (44800) et ne partage pas de procédures communes </w:t>
      </w:r>
      <w:r w:rsidR="002C2E4F">
        <w:t>avec</w:t>
      </w:r>
      <w:r>
        <w:t xml:space="preserve"> les autres entités</w:t>
      </w:r>
      <w:r w:rsidR="00C81453">
        <w:t>.</w:t>
      </w:r>
    </w:p>
    <w:p w:rsidR="00680D30" w:rsidRDefault="00680D30" w:rsidP="00D7725A">
      <w:pPr>
        <w:jc w:val="both"/>
      </w:pPr>
      <w:r>
        <w:t>FIDUCIAIRE AUDIT EXPANSION et FIGEREC sont titulaires de mandats de commissaire aux comptes. Un des associés du cabinet, Olivier BOSSARD, est titulaire en nom propre de mandats de commissaire aux comptes.</w:t>
      </w:r>
    </w:p>
    <w:p w:rsidR="00680D30" w:rsidRDefault="00680D30" w:rsidP="00D7725A">
      <w:pPr>
        <w:jc w:val="both"/>
      </w:pPr>
      <w:r>
        <w:t xml:space="preserve">Les missions n’entrant pas dans le champ de l’audit légal (expertise indépendante, évaluation, conseil, audits contractuels, due diligences, conseil…) sont réalisées par </w:t>
      </w:r>
      <w:r w:rsidR="008D6D93">
        <w:t>le cabinet libéral d’</w:t>
      </w:r>
      <w:r w:rsidR="00C81453">
        <w:t xml:space="preserve">Olivier BOSSARD et </w:t>
      </w:r>
      <w:r w:rsidR="00686751">
        <w:t xml:space="preserve">par </w:t>
      </w:r>
      <w:r w:rsidR="00C81453">
        <w:t>les</w:t>
      </w:r>
      <w:r>
        <w:t xml:space="preserve"> société</w:t>
      </w:r>
      <w:r w:rsidR="00C81453">
        <w:t>s</w:t>
      </w:r>
      <w:r>
        <w:t xml:space="preserve"> FIDUCIAIRE AUDIT EXPANSION et FIGEREC, sociétés inscrites au tableau de l’ordre des experts</w:t>
      </w:r>
      <w:r w:rsidR="002C2E4F">
        <w:t xml:space="preserve">-comptables Paris Ile de </w:t>
      </w:r>
      <w:r w:rsidR="00C81453">
        <w:t>France,</w:t>
      </w:r>
      <w:r w:rsidR="002C2E4F">
        <w:t xml:space="preserve"> et par SECORA société inscrite au tableau de l’ordre de la région Pays de Loire.</w:t>
      </w:r>
    </w:p>
    <w:p w:rsidR="008D66C4" w:rsidRDefault="008D66C4" w:rsidP="00D71F9C"/>
    <w:p w:rsidR="008D66C4" w:rsidRPr="00317C95" w:rsidRDefault="00317C95" w:rsidP="00D71F9C">
      <w:pPr>
        <w:rPr>
          <w:b/>
        </w:rPr>
      </w:pPr>
      <w:r>
        <w:rPr>
          <w:b/>
        </w:rPr>
        <w:t xml:space="preserve">SAS </w:t>
      </w:r>
      <w:r w:rsidR="008D66C4" w:rsidRPr="00317C95">
        <w:rPr>
          <w:b/>
        </w:rPr>
        <w:t>FIDUCIAIRE AUDIT EXPANSION</w:t>
      </w:r>
      <w:r>
        <w:rPr>
          <w:b/>
        </w:rPr>
        <w:t> :</w:t>
      </w:r>
    </w:p>
    <w:p w:rsidR="008D66C4" w:rsidRDefault="008D66C4" w:rsidP="00D71F9C">
      <w:r>
        <w:t>Société anonyme au capital de</w:t>
      </w:r>
      <w:r w:rsidR="008D6D93">
        <w:t xml:space="preserve"> 38.112 €</w:t>
      </w:r>
    </w:p>
    <w:p w:rsidR="008D66C4" w:rsidRDefault="008D66C4" w:rsidP="00D71F9C">
      <w:r>
        <w:t>Siège social : 69 Rue Carnot – 92300 LEVALLOIS-PERRET</w:t>
      </w:r>
    </w:p>
    <w:p w:rsidR="008D66C4" w:rsidRDefault="008D66C4" w:rsidP="00D71F9C">
      <w:r>
        <w:t>Coordonnées téléphoniques : 01 46 40 05 95</w:t>
      </w:r>
    </w:p>
    <w:p w:rsidR="008D66C4" w:rsidRDefault="008D66C4" w:rsidP="00D71F9C">
      <w:r>
        <w:t xml:space="preserve">Société d’expertise comptable inscrite au tableau de l’Ordre Paris Ile de France </w:t>
      </w:r>
      <w:r w:rsidR="00315593">
        <w:t xml:space="preserve">et à la </w:t>
      </w:r>
      <w:r>
        <w:t>CRCC de Versailles</w:t>
      </w:r>
    </w:p>
    <w:p w:rsidR="008D66C4" w:rsidRPr="00317C95" w:rsidRDefault="00317C95" w:rsidP="00D71F9C">
      <w:pPr>
        <w:rPr>
          <w:b/>
        </w:rPr>
      </w:pPr>
      <w:r>
        <w:rPr>
          <w:b/>
        </w:rPr>
        <w:t xml:space="preserve">SARL </w:t>
      </w:r>
      <w:r w:rsidR="008D66C4" w:rsidRPr="00317C95">
        <w:rPr>
          <w:b/>
        </w:rPr>
        <w:t>FIGEREC</w:t>
      </w:r>
      <w:r>
        <w:rPr>
          <w:b/>
        </w:rPr>
        <w:t> :</w:t>
      </w:r>
    </w:p>
    <w:p w:rsidR="008D66C4" w:rsidRDefault="008D66C4" w:rsidP="00D71F9C">
      <w:r>
        <w:t xml:space="preserve">Société à responsabilité limitée au capital de </w:t>
      </w:r>
      <w:r w:rsidR="00315593">
        <w:t>70.700 €</w:t>
      </w:r>
    </w:p>
    <w:p w:rsidR="008D66C4" w:rsidRDefault="008D66C4" w:rsidP="00D71F9C">
      <w:r>
        <w:t>Siège social : 69 Rue Carnot – 92300 LEVALLOIS-PERRET</w:t>
      </w:r>
    </w:p>
    <w:p w:rsidR="00315593" w:rsidRDefault="00315593" w:rsidP="00D71F9C">
      <w:r>
        <w:t>Société d’expertise comptable inscrite au tableau de l’Ordre Paris Ile de France et à la CRCC de Versailles.</w:t>
      </w:r>
    </w:p>
    <w:p w:rsidR="00315593" w:rsidRPr="00317C95" w:rsidRDefault="00317C95" w:rsidP="00D71F9C">
      <w:pPr>
        <w:rPr>
          <w:b/>
        </w:rPr>
      </w:pPr>
      <w:r>
        <w:rPr>
          <w:b/>
        </w:rPr>
        <w:t xml:space="preserve">SARL </w:t>
      </w:r>
      <w:r w:rsidR="00315593" w:rsidRPr="00317C95">
        <w:rPr>
          <w:b/>
        </w:rPr>
        <w:t>AB ENTREPRISE</w:t>
      </w:r>
      <w:r w:rsidRPr="00317C95">
        <w:rPr>
          <w:b/>
        </w:rPr>
        <w:t> :</w:t>
      </w:r>
    </w:p>
    <w:p w:rsidR="00315593" w:rsidRDefault="00315593" w:rsidP="00D71F9C">
      <w:r>
        <w:t>Société à responsabilité limitée au capital de 10.400 €</w:t>
      </w:r>
    </w:p>
    <w:p w:rsidR="00315593" w:rsidRDefault="00315593" w:rsidP="00D71F9C">
      <w:r>
        <w:t>Siège social : 69 Rue Carnot – 92300 LEVALLOIS-PERRET</w:t>
      </w:r>
    </w:p>
    <w:p w:rsidR="00315593" w:rsidRDefault="00315593" w:rsidP="00D71F9C">
      <w:r>
        <w:t>Société d’expertise comptable inscrite au tableau de l’Ordre Paris Ile de France et à la CRCC de Versailles</w:t>
      </w:r>
    </w:p>
    <w:p w:rsidR="00315593" w:rsidRPr="0087075E" w:rsidRDefault="0087075E" w:rsidP="00D71F9C">
      <w:pPr>
        <w:rPr>
          <w:b/>
        </w:rPr>
      </w:pPr>
      <w:r w:rsidRPr="0087075E">
        <w:rPr>
          <w:b/>
        </w:rPr>
        <w:t xml:space="preserve">SARL </w:t>
      </w:r>
      <w:r w:rsidR="00315593" w:rsidRPr="0087075E">
        <w:rPr>
          <w:b/>
        </w:rPr>
        <w:t>SECORA</w:t>
      </w:r>
      <w:r w:rsidRPr="0087075E">
        <w:rPr>
          <w:b/>
        </w:rPr>
        <w:t> :</w:t>
      </w:r>
    </w:p>
    <w:p w:rsidR="00315593" w:rsidRDefault="00315593" w:rsidP="00D71F9C">
      <w:r>
        <w:t>Société à responsabilité limitée au capital de 152.450 €</w:t>
      </w:r>
    </w:p>
    <w:p w:rsidR="00315593" w:rsidRDefault="00315593" w:rsidP="00D71F9C">
      <w:r>
        <w:t>Siège social : 385 Route de Vannes – 44800 SAINT-HERBLAIN</w:t>
      </w:r>
    </w:p>
    <w:p w:rsidR="00D7725A" w:rsidRDefault="00315593" w:rsidP="00D71F9C">
      <w:r>
        <w:t>Société d’expertise comptable inscrite au tableau de l’Ordre des Pays de Loire.</w:t>
      </w:r>
    </w:p>
    <w:p w:rsidR="00D7725A" w:rsidRDefault="00D7725A" w:rsidP="00D71F9C"/>
    <w:p w:rsidR="008D66C4" w:rsidRDefault="008D66C4" w:rsidP="00854E1D">
      <w:pPr>
        <w:pStyle w:val="Titre1"/>
        <w:numPr>
          <w:ilvl w:val="0"/>
          <w:numId w:val="9"/>
        </w:numPr>
      </w:pPr>
      <w:r>
        <w:lastRenderedPageBreak/>
        <w:t>CLIENTS</w:t>
      </w:r>
    </w:p>
    <w:p w:rsidR="00D7725A" w:rsidRDefault="00D7725A" w:rsidP="00854E1D"/>
    <w:p w:rsidR="00854E1D" w:rsidRDefault="00854E1D" w:rsidP="00854E1D">
      <w:pPr>
        <w:pStyle w:val="Titre2"/>
        <w:ind w:left="1134"/>
      </w:pPr>
      <w:r>
        <w:t>Chiffre d’affaires</w:t>
      </w:r>
    </w:p>
    <w:p w:rsidR="00D7725A" w:rsidRPr="00D7725A" w:rsidRDefault="00D7725A" w:rsidP="00972A24">
      <w:pPr>
        <w:spacing w:after="0"/>
      </w:pPr>
    </w:p>
    <w:p w:rsidR="00854E1D" w:rsidRDefault="00854E1D" w:rsidP="00854E1D">
      <w:pPr>
        <w:ind w:left="558"/>
      </w:pPr>
      <w:r>
        <w:t xml:space="preserve">(Exercice du </w:t>
      </w:r>
      <w:r w:rsidR="005D58CB">
        <w:t>12 mois clos le 31 décembre 201</w:t>
      </w:r>
      <w:r w:rsidR="00953768">
        <w:t>6</w:t>
      </w:r>
      <w:r>
        <w:t>, données exprimées en K€)</w:t>
      </w:r>
    </w:p>
    <w:tbl>
      <w:tblPr>
        <w:tblStyle w:val="Grilledutableau"/>
        <w:tblW w:w="0" w:type="auto"/>
        <w:tblInd w:w="558" w:type="dxa"/>
        <w:tblLook w:val="04A0" w:firstRow="1" w:lastRow="0" w:firstColumn="1" w:lastColumn="0" w:noHBand="0" w:noVBand="1"/>
      </w:tblPr>
      <w:tblGrid>
        <w:gridCol w:w="4238"/>
        <w:gridCol w:w="4266"/>
      </w:tblGrid>
      <w:tr w:rsidR="00854E1D" w:rsidTr="00854E1D">
        <w:tc>
          <w:tcPr>
            <w:tcW w:w="4531" w:type="dxa"/>
          </w:tcPr>
          <w:p w:rsidR="00854E1D" w:rsidRDefault="00854E1D" w:rsidP="00854E1D">
            <w:r>
              <w:t>Contrôle légal des comptes</w:t>
            </w:r>
          </w:p>
        </w:tc>
        <w:tc>
          <w:tcPr>
            <w:tcW w:w="4531" w:type="dxa"/>
          </w:tcPr>
          <w:p w:rsidR="00854E1D" w:rsidRDefault="00257249" w:rsidP="00953768">
            <w:pPr>
              <w:tabs>
                <w:tab w:val="left" w:pos="612"/>
                <w:tab w:val="center" w:pos="2002"/>
              </w:tabs>
            </w:pPr>
            <w:r>
              <w:tab/>
            </w:r>
            <w:r>
              <w:tab/>
            </w:r>
            <w:r w:rsidR="00972A24">
              <w:t>8</w:t>
            </w:r>
            <w:r w:rsidR="00953768">
              <w:t>88</w:t>
            </w:r>
          </w:p>
        </w:tc>
      </w:tr>
      <w:tr w:rsidR="00854E1D" w:rsidTr="00854E1D">
        <w:tc>
          <w:tcPr>
            <w:tcW w:w="4531" w:type="dxa"/>
          </w:tcPr>
          <w:p w:rsidR="00854E1D" w:rsidRDefault="00854E1D" w:rsidP="00854E1D">
            <w:r>
              <w:t>Commissariat aux apports et à la fusion</w:t>
            </w:r>
          </w:p>
        </w:tc>
        <w:tc>
          <w:tcPr>
            <w:tcW w:w="4531" w:type="dxa"/>
          </w:tcPr>
          <w:p w:rsidR="00854E1D" w:rsidRDefault="00854E1D" w:rsidP="00315593">
            <w:pPr>
              <w:jc w:val="center"/>
            </w:pPr>
          </w:p>
        </w:tc>
      </w:tr>
      <w:tr w:rsidR="00854E1D" w:rsidTr="00854E1D">
        <w:tc>
          <w:tcPr>
            <w:tcW w:w="4531" w:type="dxa"/>
          </w:tcPr>
          <w:p w:rsidR="00854E1D" w:rsidRDefault="00854E1D" w:rsidP="00854E1D">
            <w:r>
              <w:t>Autres prestations</w:t>
            </w:r>
            <w:r w:rsidR="0087075E">
              <w:t xml:space="preserve"> contractuelles</w:t>
            </w:r>
          </w:p>
        </w:tc>
        <w:tc>
          <w:tcPr>
            <w:tcW w:w="4531" w:type="dxa"/>
          </w:tcPr>
          <w:p w:rsidR="00854E1D" w:rsidRDefault="00953768" w:rsidP="00315593">
            <w:pPr>
              <w:jc w:val="center"/>
            </w:pPr>
            <w:r>
              <w:t>1 278</w:t>
            </w:r>
          </w:p>
        </w:tc>
      </w:tr>
      <w:tr w:rsidR="00854E1D" w:rsidTr="00854E1D">
        <w:tc>
          <w:tcPr>
            <w:tcW w:w="4531" w:type="dxa"/>
          </w:tcPr>
          <w:p w:rsidR="00854E1D" w:rsidRPr="00632FCE" w:rsidRDefault="00854E1D" w:rsidP="00854E1D">
            <w:pPr>
              <w:rPr>
                <w:b/>
              </w:rPr>
            </w:pPr>
            <w:r w:rsidRPr="00632FCE">
              <w:rPr>
                <w:b/>
              </w:rPr>
              <w:t>Total</w:t>
            </w:r>
            <w:r w:rsidR="00632FCE" w:rsidRPr="00632FCE">
              <w:rPr>
                <w:b/>
              </w:rPr>
              <w:t xml:space="preserve"> général</w:t>
            </w:r>
          </w:p>
        </w:tc>
        <w:tc>
          <w:tcPr>
            <w:tcW w:w="4531" w:type="dxa"/>
          </w:tcPr>
          <w:p w:rsidR="00854E1D" w:rsidRDefault="00953768" w:rsidP="00315593">
            <w:pPr>
              <w:jc w:val="center"/>
            </w:pPr>
            <w:r>
              <w:t>2 166</w:t>
            </w:r>
          </w:p>
        </w:tc>
      </w:tr>
    </w:tbl>
    <w:p w:rsidR="00854E1D" w:rsidRDefault="00854E1D" w:rsidP="00854E1D">
      <w:pPr>
        <w:ind w:left="558"/>
      </w:pPr>
    </w:p>
    <w:p w:rsidR="00854E1D" w:rsidRDefault="00854E1D" w:rsidP="00854E1D">
      <w:pPr>
        <w:pStyle w:val="Titre2"/>
        <w:ind w:left="1276"/>
      </w:pPr>
      <w:r w:rsidRPr="00854E1D">
        <w:t>Contrôle légal d’entités dont les titres sont admis aux négociations sur un marché règlementé</w:t>
      </w:r>
    </w:p>
    <w:p w:rsidR="00854E1D" w:rsidRDefault="00854E1D" w:rsidP="00854E1D"/>
    <w:p w:rsidR="00854E1D" w:rsidRDefault="00854E1D" w:rsidP="00D7725A">
      <w:pPr>
        <w:ind w:left="700"/>
        <w:jc w:val="both"/>
      </w:pPr>
      <w:r>
        <w:t xml:space="preserve">Au cours de l’exercice de 12 mois clos le 31 décembre </w:t>
      </w:r>
      <w:r w:rsidR="00527D94">
        <w:t>2016</w:t>
      </w:r>
      <w:r>
        <w:t>, seule FIGEREC a effectué des missions de contrôle légal des comptes d’entités dont les titres sont admis aux négociations sur un marché règlementé </w:t>
      </w:r>
      <w:r w:rsidR="00240D84">
        <w:t>qui sont les suivantes</w:t>
      </w:r>
      <w:r w:rsidR="00413258">
        <w:t> </w:t>
      </w:r>
      <w:r>
        <w:t>:</w:t>
      </w:r>
    </w:p>
    <w:p w:rsidR="00854E1D" w:rsidRDefault="00854E1D" w:rsidP="00854E1D">
      <w:pPr>
        <w:ind w:left="700"/>
      </w:pPr>
    </w:p>
    <w:tbl>
      <w:tblPr>
        <w:tblStyle w:val="Grilledutableau"/>
        <w:tblW w:w="0" w:type="auto"/>
        <w:tblInd w:w="700" w:type="dxa"/>
        <w:tblLook w:val="04A0" w:firstRow="1" w:lastRow="0" w:firstColumn="1" w:lastColumn="0" w:noHBand="0" w:noVBand="1"/>
      </w:tblPr>
      <w:tblGrid>
        <w:gridCol w:w="2472"/>
        <w:gridCol w:w="2994"/>
        <w:gridCol w:w="2896"/>
      </w:tblGrid>
      <w:tr w:rsidR="00854E1D" w:rsidTr="00632FCE">
        <w:tc>
          <w:tcPr>
            <w:tcW w:w="0" w:type="auto"/>
          </w:tcPr>
          <w:p w:rsidR="00854E1D" w:rsidRPr="00413258" w:rsidRDefault="00854E1D" w:rsidP="00854E1D">
            <w:pPr>
              <w:jc w:val="center"/>
              <w:rPr>
                <w:b/>
              </w:rPr>
            </w:pPr>
            <w:r w:rsidRPr="00413258">
              <w:rPr>
                <w:b/>
              </w:rPr>
              <w:t>Structure d’exercice professionnel</w:t>
            </w:r>
          </w:p>
        </w:tc>
        <w:tc>
          <w:tcPr>
            <w:tcW w:w="0" w:type="auto"/>
          </w:tcPr>
          <w:p w:rsidR="00854E1D" w:rsidRPr="00413258" w:rsidRDefault="00854E1D" w:rsidP="00854E1D">
            <w:pPr>
              <w:jc w:val="center"/>
              <w:rPr>
                <w:b/>
              </w:rPr>
            </w:pPr>
            <w:r w:rsidRPr="00413258">
              <w:rPr>
                <w:b/>
              </w:rPr>
              <w:t>Société contrôlée</w:t>
            </w:r>
          </w:p>
        </w:tc>
        <w:tc>
          <w:tcPr>
            <w:tcW w:w="0" w:type="auto"/>
          </w:tcPr>
          <w:p w:rsidR="00854E1D" w:rsidRPr="00413258" w:rsidRDefault="00854E1D" w:rsidP="00854E1D">
            <w:pPr>
              <w:jc w:val="center"/>
              <w:rPr>
                <w:b/>
              </w:rPr>
            </w:pPr>
            <w:r w:rsidRPr="00413258">
              <w:rPr>
                <w:b/>
              </w:rPr>
              <w:t>Marché</w:t>
            </w:r>
            <w:r w:rsidR="00413258">
              <w:rPr>
                <w:b/>
              </w:rPr>
              <w:t xml:space="preserve"> réglementé</w:t>
            </w:r>
          </w:p>
        </w:tc>
      </w:tr>
      <w:tr w:rsidR="00854E1D" w:rsidTr="00632FCE">
        <w:trPr>
          <w:trHeight w:val="1019"/>
        </w:trPr>
        <w:tc>
          <w:tcPr>
            <w:tcW w:w="0" w:type="auto"/>
          </w:tcPr>
          <w:p w:rsidR="00854E1D" w:rsidRDefault="00854E1D" w:rsidP="00854E1D"/>
          <w:p w:rsidR="00854E1D" w:rsidRDefault="00854E1D" w:rsidP="00854E1D">
            <w:r>
              <w:t>FIGEREC</w:t>
            </w:r>
          </w:p>
          <w:p w:rsidR="00854E1D" w:rsidRDefault="00854E1D" w:rsidP="00854E1D"/>
        </w:tc>
        <w:tc>
          <w:tcPr>
            <w:tcW w:w="0" w:type="auto"/>
          </w:tcPr>
          <w:p w:rsidR="00854E1D" w:rsidRDefault="00854E1D" w:rsidP="00854E1D"/>
          <w:p w:rsidR="00854E1D" w:rsidRDefault="00527D94" w:rsidP="00527D94">
            <w:r>
              <w:t>GALIMMO</w:t>
            </w:r>
            <w:r w:rsidR="00686751">
              <w:t xml:space="preserve"> (</w:t>
            </w:r>
            <w:proofErr w:type="spellStart"/>
            <w:r>
              <w:t>Ec</w:t>
            </w:r>
            <w:proofErr w:type="spellEnd"/>
            <w:r>
              <w:t xml:space="preserve"> C&amp;CO, </w:t>
            </w:r>
            <w:r w:rsidR="00686751">
              <w:t>Ex Compagnie Marocaine)</w:t>
            </w:r>
          </w:p>
        </w:tc>
        <w:tc>
          <w:tcPr>
            <w:tcW w:w="0" w:type="auto"/>
          </w:tcPr>
          <w:p w:rsidR="00854E1D" w:rsidRDefault="00854E1D" w:rsidP="00854E1D"/>
          <w:p w:rsidR="00854E1D" w:rsidRDefault="00854E1D" w:rsidP="00854E1D">
            <w:proofErr w:type="spellStart"/>
            <w:r>
              <w:t>Eurolist</w:t>
            </w:r>
            <w:proofErr w:type="spellEnd"/>
            <w:r>
              <w:t xml:space="preserve"> d’Euronext</w:t>
            </w:r>
            <w:r w:rsidR="00315593">
              <w:t xml:space="preserve"> Paris (compartiment C</w:t>
            </w:r>
            <w:r>
              <w:t>)</w:t>
            </w:r>
          </w:p>
          <w:p w:rsidR="00EF418E" w:rsidRDefault="00EF418E" w:rsidP="00854E1D"/>
        </w:tc>
      </w:tr>
      <w:tr w:rsidR="00F80AA4" w:rsidTr="00632FCE">
        <w:tc>
          <w:tcPr>
            <w:tcW w:w="0" w:type="auto"/>
          </w:tcPr>
          <w:p w:rsidR="00F80AA4" w:rsidRDefault="00F80AA4" w:rsidP="005F20CD"/>
          <w:p w:rsidR="00F80AA4" w:rsidRDefault="00F80AA4" w:rsidP="005F20CD">
            <w:r>
              <w:t>FIGEREC</w:t>
            </w:r>
          </w:p>
          <w:p w:rsidR="00F80AA4" w:rsidRDefault="00F80AA4" w:rsidP="005F20CD"/>
        </w:tc>
        <w:tc>
          <w:tcPr>
            <w:tcW w:w="0" w:type="auto"/>
          </w:tcPr>
          <w:p w:rsidR="00F80AA4" w:rsidRDefault="00F80AA4" w:rsidP="005F20CD"/>
          <w:p w:rsidR="00F80AA4" w:rsidRDefault="004D427F" w:rsidP="005F20CD">
            <w:r>
              <w:t>AFONE</w:t>
            </w:r>
          </w:p>
        </w:tc>
        <w:tc>
          <w:tcPr>
            <w:tcW w:w="0" w:type="auto"/>
          </w:tcPr>
          <w:p w:rsidR="00F80AA4" w:rsidRDefault="00F80AA4" w:rsidP="005F20CD"/>
          <w:p w:rsidR="00F80AA4" w:rsidRDefault="00F80AA4" w:rsidP="005F20CD">
            <w:proofErr w:type="spellStart"/>
            <w:r>
              <w:t>Eurolist</w:t>
            </w:r>
            <w:proofErr w:type="spellEnd"/>
            <w:r>
              <w:t xml:space="preserve"> d’Euronext Paris</w:t>
            </w:r>
          </w:p>
          <w:p w:rsidR="00F80AA4" w:rsidRDefault="00F80AA4" w:rsidP="005F20CD">
            <w:r>
              <w:t>(</w:t>
            </w:r>
            <w:proofErr w:type="gramStart"/>
            <w:r>
              <w:t>compartiment</w:t>
            </w:r>
            <w:proofErr w:type="gramEnd"/>
            <w:r>
              <w:t xml:space="preserve"> C)</w:t>
            </w:r>
          </w:p>
          <w:p w:rsidR="00F80AA4" w:rsidRDefault="00F80AA4" w:rsidP="005F20CD"/>
        </w:tc>
      </w:tr>
    </w:tbl>
    <w:p w:rsidR="00854E1D" w:rsidRDefault="00854E1D" w:rsidP="00854E1D">
      <w:pPr>
        <w:ind w:left="700"/>
      </w:pPr>
    </w:p>
    <w:p w:rsidR="00EF418E" w:rsidRDefault="00EF418E" w:rsidP="00EF418E">
      <w:pPr>
        <w:pStyle w:val="Titre1"/>
      </w:pPr>
      <w:r>
        <w:t>Ressources humaines</w:t>
      </w:r>
    </w:p>
    <w:p w:rsidR="00EF418E" w:rsidRDefault="00EF418E" w:rsidP="00EF418E"/>
    <w:p w:rsidR="00EF418E" w:rsidRDefault="00750987" w:rsidP="00D7725A">
      <w:pPr>
        <w:jc w:val="both"/>
      </w:pPr>
      <w:r>
        <w:t>L’effectif moyen</w:t>
      </w:r>
      <w:r w:rsidR="00EF418E">
        <w:t xml:space="preserve"> du cabinet a</w:t>
      </w:r>
      <w:r w:rsidR="00315593">
        <w:t>u</w:t>
      </w:r>
      <w:r>
        <w:t xml:space="preserve"> 31 décembre 201</w:t>
      </w:r>
      <w:r w:rsidR="00527D94">
        <w:t>6</w:t>
      </w:r>
      <w:r>
        <w:t xml:space="preserve"> est de </w:t>
      </w:r>
      <w:r w:rsidR="00527D94">
        <w:t>15</w:t>
      </w:r>
      <w:r w:rsidR="00315593">
        <w:t xml:space="preserve"> personnes, dont 3 associés, 12</w:t>
      </w:r>
      <w:r w:rsidR="004D427F">
        <w:t xml:space="preserve"> collaborateurs techniques et 1 collaborateur administratif</w:t>
      </w:r>
      <w:r w:rsidR="00EF418E">
        <w:t>.</w:t>
      </w:r>
    </w:p>
    <w:p w:rsidR="00C81453" w:rsidRDefault="00C81453" w:rsidP="00D7725A">
      <w:pPr>
        <w:jc w:val="both"/>
      </w:pPr>
    </w:p>
    <w:p w:rsidR="00EF418E" w:rsidRDefault="00EF418E" w:rsidP="00A202EC">
      <w:pPr>
        <w:pStyle w:val="Titre2"/>
        <w:ind w:left="1134"/>
      </w:pPr>
      <w:r>
        <w:t>Collaborateurs</w:t>
      </w:r>
    </w:p>
    <w:p w:rsidR="00EF418E" w:rsidRDefault="00EF418E" w:rsidP="00EF418E"/>
    <w:p w:rsidR="00EF418E" w:rsidRDefault="00302BDF" w:rsidP="002C430C">
      <w:pPr>
        <w:ind w:left="567"/>
        <w:jc w:val="both"/>
      </w:pPr>
      <w:r>
        <w:t>Le</w:t>
      </w:r>
      <w:r w:rsidR="00EF418E">
        <w:t xml:space="preserve"> cabinet recrute </w:t>
      </w:r>
      <w:r w:rsidR="00315593">
        <w:t>d</w:t>
      </w:r>
      <w:r w:rsidR="00EF418E">
        <w:t xml:space="preserve">es collaborateurs débutants </w:t>
      </w:r>
      <w:r w:rsidR="002C430C">
        <w:t xml:space="preserve">ayant </w:t>
      </w:r>
      <w:r w:rsidR="00C81453">
        <w:t>un</w:t>
      </w:r>
      <w:r w:rsidR="00EF418E">
        <w:t xml:space="preserve"> niveau minimum </w:t>
      </w:r>
      <w:r w:rsidR="00C81453">
        <w:t xml:space="preserve">de </w:t>
      </w:r>
      <w:r w:rsidR="00EF418E">
        <w:t>Bac + 4</w:t>
      </w:r>
      <w:r w:rsidR="002C430C">
        <w:t xml:space="preserve"> (à l’exception des collaborateurs</w:t>
      </w:r>
      <w:r w:rsidR="00240D84">
        <w:t xml:space="preserve"> ayant</w:t>
      </w:r>
      <w:r w:rsidR="002C430C">
        <w:t xml:space="preserve"> un statut particulier, par </w:t>
      </w:r>
      <w:proofErr w:type="gramStart"/>
      <w:r w:rsidR="002C430C">
        <w:t>exemple  un</w:t>
      </w:r>
      <w:proofErr w:type="gramEnd"/>
      <w:r w:rsidR="002C430C">
        <w:t xml:space="preserve"> contrat en alternance ou d’apprentissage)</w:t>
      </w:r>
      <w:r w:rsidR="00C81453">
        <w:t>,</w:t>
      </w:r>
      <w:r w:rsidR="002C430C">
        <w:t xml:space="preserve"> </w:t>
      </w:r>
      <w:r w:rsidR="00EF418E">
        <w:t>issus de l’université (droit, gestion finances), d’écoles de commerce (options finances, comptabilité, gestion</w:t>
      </w:r>
      <w:r w:rsidR="004D427F">
        <w:t xml:space="preserve"> ou d’établissement d’enseignement supérieur</w:t>
      </w:r>
      <w:r w:rsidR="00C81453">
        <w:t>)</w:t>
      </w:r>
      <w:r w:rsidR="00EF418E">
        <w:t>.</w:t>
      </w:r>
    </w:p>
    <w:p w:rsidR="00EF418E" w:rsidRDefault="004D427F" w:rsidP="00A202EC">
      <w:pPr>
        <w:ind w:left="567"/>
        <w:jc w:val="both"/>
      </w:pPr>
      <w:r>
        <w:lastRenderedPageBreak/>
        <w:t xml:space="preserve">Le cabinet recrute </w:t>
      </w:r>
      <w:r w:rsidR="00EF418E">
        <w:t>des collaborateurs expérimenté</w:t>
      </w:r>
      <w:r w:rsidR="00315593">
        <w:t>s</w:t>
      </w:r>
      <w:r w:rsidR="00EF418E">
        <w:t xml:space="preserve"> pour compléter ses effectifs et garantir la compétence de ses équipes.</w:t>
      </w:r>
    </w:p>
    <w:p w:rsidR="00EF418E" w:rsidRDefault="00EF418E" w:rsidP="00A202EC">
      <w:pPr>
        <w:ind w:left="567"/>
        <w:jc w:val="both"/>
      </w:pPr>
      <w:r>
        <w:t xml:space="preserve">Chaque collaborateur intervient sur toute nature de mission </w:t>
      </w:r>
      <w:r w:rsidR="0080758F">
        <w:t xml:space="preserve">d’audit </w:t>
      </w:r>
      <w:r>
        <w:t>afin d’évi</w:t>
      </w:r>
      <w:r w:rsidR="002C2E4F">
        <w:t xml:space="preserve">ter un </w:t>
      </w:r>
      <w:proofErr w:type="gramStart"/>
      <w:r w:rsidR="002C2E4F">
        <w:t xml:space="preserve">cloisonnement </w:t>
      </w:r>
      <w:r>
        <w:t xml:space="preserve"> des</w:t>
      </w:r>
      <w:proofErr w:type="gramEnd"/>
      <w:r>
        <w:t xml:space="preserve"> compétences et permettre </w:t>
      </w:r>
      <w:r w:rsidR="002C2E4F">
        <w:t xml:space="preserve">une meilleure appréciation </w:t>
      </w:r>
      <w:r>
        <w:t>des problématiques économiques et financières.</w:t>
      </w:r>
    </w:p>
    <w:p w:rsidR="00EF418E" w:rsidRDefault="00EF418E" w:rsidP="00A202EC">
      <w:pPr>
        <w:ind w:left="567"/>
        <w:jc w:val="both"/>
      </w:pPr>
      <w:r>
        <w:t>Les mandats de commissariat aux comptes sont planifiés sur une base annuelle à partir des calendriers communiqués par les clients, et imposés par le respect des dispositions légales et règlementaires.</w:t>
      </w:r>
    </w:p>
    <w:p w:rsidR="00EF418E" w:rsidRDefault="00EF418E" w:rsidP="00A202EC">
      <w:pPr>
        <w:ind w:left="567"/>
        <w:jc w:val="both"/>
      </w:pPr>
      <w:r>
        <w:t xml:space="preserve">Les travaux et </w:t>
      </w:r>
      <w:r w:rsidR="002C2E4F">
        <w:t xml:space="preserve">les </w:t>
      </w:r>
      <w:r>
        <w:t>comportements professionnels des collaborateurs sont évalués</w:t>
      </w:r>
      <w:r w:rsidR="00315593">
        <w:t xml:space="preserve"> annuellement</w:t>
      </w:r>
      <w:r w:rsidR="00265F22">
        <w:t>.</w:t>
      </w:r>
    </w:p>
    <w:p w:rsidR="007E6B20" w:rsidRDefault="00265F22" w:rsidP="00A202EC">
      <w:pPr>
        <w:ind w:left="567"/>
        <w:jc w:val="both"/>
      </w:pPr>
      <w:r>
        <w:t xml:space="preserve">Chaque collaborateur rencontre </w:t>
      </w:r>
      <w:r w:rsidR="00C81453">
        <w:t xml:space="preserve">un associé </w:t>
      </w:r>
      <w:r>
        <w:t>lors d</w:t>
      </w:r>
      <w:r w:rsidR="00315593">
        <w:t xml:space="preserve">’un entretien annuel. </w:t>
      </w:r>
    </w:p>
    <w:p w:rsidR="00265F22" w:rsidRDefault="00265F22" w:rsidP="00A202EC">
      <w:pPr>
        <w:ind w:left="567"/>
        <w:jc w:val="both"/>
      </w:pPr>
      <w:r>
        <w:t xml:space="preserve">Cet entretien a pour objectif de faire le bilan de l’activité </w:t>
      </w:r>
      <w:r w:rsidR="00315593">
        <w:t xml:space="preserve">annuel </w:t>
      </w:r>
      <w:r>
        <w:t>du collaborateur et d’échanger sur sa progressio</w:t>
      </w:r>
      <w:r w:rsidR="00315593">
        <w:t>n. Il permet également d’adapter en tant que besoin le plan de formation et s</w:t>
      </w:r>
      <w:r>
        <w:t>es affectations futures.</w:t>
      </w:r>
    </w:p>
    <w:p w:rsidR="00265F22" w:rsidRDefault="00265F22" w:rsidP="00A202EC">
      <w:pPr>
        <w:ind w:left="567"/>
        <w:jc w:val="both"/>
      </w:pPr>
      <w:r>
        <w:t>Tous les collaborateurs sont réuni</w:t>
      </w:r>
      <w:r w:rsidR="002C2E4F">
        <w:t>s</w:t>
      </w:r>
      <w:r w:rsidR="004D427F">
        <w:t xml:space="preserve"> au moins une fois par semestre</w:t>
      </w:r>
      <w:r>
        <w:t xml:space="preserve"> pour une </w:t>
      </w:r>
      <w:r w:rsidR="002C2E4F">
        <w:t>demi-journée</w:t>
      </w:r>
      <w:r>
        <w:t xml:space="preserve"> de formation technique et pour</w:t>
      </w:r>
      <w:r w:rsidR="002C2E4F">
        <w:t xml:space="preserve"> évoquer les sujets portant sur</w:t>
      </w:r>
      <w:r>
        <w:t xml:space="preserve"> la vie du cabinet.</w:t>
      </w:r>
    </w:p>
    <w:p w:rsidR="00265F22" w:rsidRDefault="00265F22" w:rsidP="00EF418E"/>
    <w:p w:rsidR="00265F22" w:rsidRDefault="00265F22" w:rsidP="00A202EC">
      <w:pPr>
        <w:pStyle w:val="Titre2"/>
      </w:pPr>
      <w:r>
        <w:t>Associés</w:t>
      </w:r>
    </w:p>
    <w:p w:rsidR="00265F22" w:rsidRDefault="00265F22" w:rsidP="00A202EC">
      <w:pPr>
        <w:ind w:left="576"/>
      </w:pPr>
    </w:p>
    <w:p w:rsidR="00265F22" w:rsidRDefault="00BC4D7B" w:rsidP="00A202EC">
      <w:pPr>
        <w:ind w:left="576"/>
        <w:jc w:val="both"/>
      </w:pPr>
      <w:r>
        <w:t>Les associés du ca</w:t>
      </w:r>
      <w:r w:rsidR="00C81453">
        <w:t xml:space="preserve">binet, commissaires aux </w:t>
      </w:r>
      <w:proofErr w:type="gramStart"/>
      <w:r w:rsidR="00C81453">
        <w:t>comptes</w:t>
      </w:r>
      <w:r>
        <w:t xml:space="preserve">,  </w:t>
      </w:r>
      <w:r w:rsidR="00265F22">
        <w:t>interviennent</w:t>
      </w:r>
      <w:proofErr w:type="gramEnd"/>
      <w:r w:rsidR="00265F22">
        <w:t xml:space="preserve"> sur des missions</w:t>
      </w:r>
      <w:r w:rsidR="00315593">
        <w:t xml:space="preserve"> diversifiées</w:t>
      </w:r>
      <w:r w:rsidR="00265F22">
        <w:t xml:space="preserve">. </w:t>
      </w:r>
      <w:r w:rsidR="00302BDF">
        <w:t>Olivier BOSSARD et Bruno FOURRIER son</w:t>
      </w:r>
      <w:r w:rsidR="00265F22">
        <w:t>t signataire</w:t>
      </w:r>
      <w:r w:rsidR="00302BDF">
        <w:t>s</w:t>
      </w:r>
      <w:r w:rsidR="00265F22">
        <w:t xml:space="preserve"> de mandats de commissariat aux comptes.</w:t>
      </w:r>
    </w:p>
    <w:p w:rsidR="00265F22" w:rsidRDefault="00265F22" w:rsidP="00A202EC">
      <w:pPr>
        <w:ind w:left="576"/>
        <w:jc w:val="both"/>
      </w:pPr>
      <w:r>
        <w:t>La rémunération des associés es</w:t>
      </w:r>
      <w:r w:rsidR="00302BDF">
        <w:t>t constituée d’une partie fixe</w:t>
      </w:r>
      <w:r>
        <w:t xml:space="preserve"> et d’une part</w:t>
      </w:r>
      <w:r w:rsidR="00302BDF">
        <w:t>ie variable. La partie variable</w:t>
      </w:r>
      <w:r>
        <w:t xml:space="preserve"> est déterminée en fonction de la performance collective du cabinet et de la performance individuelle de chaque associé, appréciée selon différents critères : compétence technique, complexité des missions réalisées, contribution au développement et à la notoriété du cabinet, responsabilité</w:t>
      </w:r>
      <w:r w:rsidR="00C81453">
        <w:t>s</w:t>
      </w:r>
      <w:r>
        <w:t xml:space="preserve"> fonctionnelles.</w:t>
      </w:r>
    </w:p>
    <w:p w:rsidR="00302BDF" w:rsidRDefault="00302BDF" w:rsidP="00265F22"/>
    <w:p w:rsidR="00265F22" w:rsidRDefault="00265F22" w:rsidP="00265F22">
      <w:pPr>
        <w:pStyle w:val="Titre2"/>
      </w:pPr>
      <w:r>
        <w:t>Formation continue</w:t>
      </w:r>
    </w:p>
    <w:p w:rsidR="00D7725A" w:rsidRPr="00D7725A" w:rsidRDefault="00D7725A" w:rsidP="00D7725A"/>
    <w:p w:rsidR="00265F22" w:rsidRDefault="00265F22" w:rsidP="00265F22">
      <w:pPr>
        <w:pStyle w:val="Titre3"/>
        <w:ind w:left="1276"/>
      </w:pPr>
      <w:r>
        <w:t>Formation des collaborateurs</w:t>
      </w:r>
    </w:p>
    <w:p w:rsidR="006273AF" w:rsidRPr="006273AF" w:rsidRDefault="006273AF" w:rsidP="006273AF"/>
    <w:p w:rsidR="00265F22" w:rsidRDefault="00265F22" w:rsidP="00D7725A">
      <w:pPr>
        <w:ind w:left="556"/>
        <w:jc w:val="both"/>
      </w:pPr>
      <w:r>
        <w:t xml:space="preserve">Le cabinet </w:t>
      </w:r>
      <w:r w:rsidR="00F80969">
        <w:t xml:space="preserve">accorde une importance particulière aux besoins de formation et </w:t>
      </w:r>
      <w:r>
        <w:t xml:space="preserve">dispose </w:t>
      </w:r>
      <w:r w:rsidR="002C2E4F">
        <w:t>d’un plan de formation établi</w:t>
      </w:r>
      <w:r>
        <w:t xml:space="preserve"> à partir de l’analyse des activités du cabinet et des compétences nécessaires.</w:t>
      </w:r>
    </w:p>
    <w:p w:rsidR="00265F22" w:rsidRDefault="00265F22" w:rsidP="00D7725A">
      <w:pPr>
        <w:ind w:left="567"/>
        <w:jc w:val="both"/>
      </w:pPr>
      <w:r>
        <w:t>Concernant les activités de commissariat aux comptes, la formation</w:t>
      </w:r>
      <w:r w:rsidR="00C81453">
        <w:t xml:space="preserve"> des collaborateurs repose sur d</w:t>
      </w:r>
      <w:r>
        <w:t>es séminaires organisés par les instances professionnelles (Compagnie régionale et nationale des commissaires aux comptes</w:t>
      </w:r>
      <w:r w:rsidR="004D427F">
        <w:t xml:space="preserve"> et ASFOREF pour citer les principaux d’entre eux</w:t>
      </w:r>
      <w:r>
        <w:t>)</w:t>
      </w:r>
      <w:r w:rsidR="00C81453">
        <w:t>.</w:t>
      </w:r>
    </w:p>
    <w:p w:rsidR="006273AF" w:rsidRDefault="006273AF" w:rsidP="00D7725A">
      <w:pPr>
        <w:ind w:left="567"/>
        <w:jc w:val="both"/>
      </w:pPr>
      <w:r>
        <w:t>Le suivi de la formation des collaborateurs est placé sous la responsab</w:t>
      </w:r>
      <w:r w:rsidR="00302BDF">
        <w:t>ilité d’un associé, qui vérifie</w:t>
      </w:r>
      <w:r w:rsidR="00C81453">
        <w:t xml:space="preserve"> en particulier </w:t>
      </w:r>
      <w:r>
        <w:t>l’adéquation des formations reçues avec la nature des missions sur lesquelles interviennent les collaborateurs.</w:t>
      </w:r>
    </w:p>
    <w:p w:rsidR="006273AF" w:rsidRDefault="00302BDF" w:rsidP="00D7725A">
      <w:pPr>
        <w:ind w:left="567"/>
        <w:jc w:val="both"/>
      </w:pPr>
      <w:r>
        <w:lastRenderedPageBreak/>
        <w:t>En complément</w:t>
      </w:r>
      <w:r w:rsidR="004D427F">
        <w:t xml:space="preserve"> de ces formations, deux</w:t>
      </w:r>
      <w:r w:rsidR="006273AF">
        <w:t xml:space="preserve"> </w:t>
      </w:r>
      <w:r>
        <w:t>demi-journées</w:t>
      </w:r>
      <w:r w:rsidR="006273AF">
        <w:t xml:space="preserve"> de formation sur l’actualité professionnelle sont organisées</w:t>
      </w:r>
      <w:r w:rsidR="00C87970">
        <w:t xml:space="preserve"> </w:t>
      </w:r>
      <w:proofErr w:type="gramStart"/>
      <w:r w:rsidR="00C87970">
        <w:t xml:space="preserve">semestriellement </w:t>
      </w:r>
      <w:r>
        <w:t xml:space="preserve"> en</w:t>
      </w:r>
      <w:proofErr w:type="gramEnd"/>
      <w:r>
        <w:t xml:space="preserve"> collaboration avec un autre cabinet d’audit.</w:t>
      </w:r>
    </w:p>
    <w:p w:rsidR="006273AF" w:rsidRDefault="006273AF" w:rsidP="00D7725A">
      <w:pPr>
        <w:ind w:left="567"/>
        <w:jc w:val="both"/>
      </w:pPr>
      <w:r>
        <w:t xml:space="preserve">Ces </w:t>
      </w:r>
      <w:r w:rsidR="0039032E">
        <w:t xml:space="preserve">deux demi-journées </w:t>
      </w:r>
      <w:r>
        <w:t>de formation sont animées par les assoc</w:t>
      </w:r>
      <w:r w:rsidR="004754C1">
        <w:t>iés</w:t>
      </w:r>
      <w:r w:rsidR="0039032E">
        <w:t xml:space="preserve"> de chacun des cabinets</w:t>
      </w:r>
      <w:r>
        <w:t>.</w:t>
      </w:r>
    </w:p>
    <w:p w:rsidR="006273AF" w:rsidRDefault="006273AF" w:rsidP="006273AF">
      <w:pPr>
        <w:pStyle w:val="Titre3"/>
        <w:ind w:left="1276"/>
      </w:pPr>
      <w:r>
        <w:t>Formation des associés</w:t>
      </w:r>
    </w:p>
    <w:p w:rsidR="006273AF" w:rsidRDefault="006273AF" w:rsidP="006273AF"/>
    <w:p w:rsidR="006273AF" w:rsidRDefault="006273AF" w:rsidP="00D7725A">
      <w:pPr>
        <w:ind w:left="556"/>
        <w:jc w:val="both"/>
      </w:pPr>
      <w:r>
        <w:t xml:space="preserve">La formation des associés </w:t>
      </w:r>
      <w:r w:rsidR="00BC4D7B">
        <w:t xml:space="preserve">commissaires aux comptes </w:t>
      </w:r>
      <w:r>
        <w:t xml:space="preserve">est </w:t>
      </w:r>
      <w:r w:rsidR="00E25ED9">
        <w:t xml:space="preserve">notamment </w:t>
      </w:r>
      <w:r>
        <w:t>assurée par des formations externes organisées par la Compagnie des commissaires aux comptes.</w:t>
      </w:r>
    </w:p>
    <w:p w:rsidR="006273AF" w:rsidRDefault="00E25ED9" w:rsidP="00D7725A">
      <w:pPr>
        <w:ind w:left="556"/>
        <w:jc w:val="both"/>
      </w:pPr>
      <w:r>
        <w:t xml:space="preserve">Les associés qui sont </w:t>
      </w:r>
      <w:r w:rsidR="00BC4D7B">
        <w:t xml:space="preserve">commissaires aux comptes effectuent, en moyenne, 40 heures </w:t>
      </w:r>
      <w:r w:rsidR="006273AF">
        <w:t xml:space="preserve">de formation </w:t>
      </w:r>
      <w:r w:rsidR="00BC4D7B">
        <w:t xml:space="preserve">annuelle </w:t>
      </w:r>
      <w:r w:rsidR="006273AF">
        <w:t>pour l’ensemble de leur activité professionnelle</w:t>
      </w:r>
      <w:r w:rsidR="00BC4D7B">
        <w:t xml:space="preserve"> en conformité avec les obligations professionnelles en matière de formation</w:t>
      </w:r>
      <w:r w:rsidR="005B053A">
        <w:t xml:space="preserve"> cont</w:t>
      </w:r>
      <w:r w:rsidR="00C81453">
        <w:t>i</w:t>
      </w:r>
      <w:r w:rsidR="005B053A">
        <w:t>nue</w:t>
      </w:r>
      <w:r w:rsidR="006273AF">
        <w:t>.</w:t>
      </w:r>
    </w:p>
    <w:p w:rsidR="00F80969" w:rsidRDefault="00F80969" w:rsidP="00D7725A">
      <w:pPr>
        <w:ind w:left="556"/>
        <w:jc w:val="both"/>
      </w:pPr>
    </w:p>
    <w:p w:rsidR="006273AF" w:rsidRDefault="006273AF" w:rsidP="006273AF">
      <w:pPr>
        <w:pStyle w:val="Titre1"/>
      </w:pPr>
      <w:r>
        <w:t>GOUVERNANCE</w:t>
      </w:r>
    </w:p>
    <w:p w:rsidR="00D7725A" w:rsidRPr="00D7725A" w:rsidRDefault="00D7725A" w:rsidP="00D7725A"/>
    <w:p w:rsidR="006273AF" w:rsidRDefault="005B053A" w:rsidP="006273AF">
      <w:pPr>
        <w:pStyle w:val="Titre2"/>
        <w:ind w:left="1134"/>
      </w:pPr>
      <w:r>
        <w:t>Organes de gouvernance</w:t>
      </w:r>
    </w:p>
    <w:p w:rsidR="006273AF" w:rsidRDefault="006273AF" w:rsidP="006273AF">
      <w:pPr>
        <w:ind w:left="558"/>
      </w:pPr>
    </w:p>
    <w:p w:rsidR="008E2695" w:rsidRDefault="008E2695" w:rsidP="006273AF">
      <w:pPr>
        <w:ind w:left="558"/>
      </w:pPr>
      <w:r>
        <w:t xml:space="preserve">Les structures juridiques (Cabinet Olivier BOSSARD, AB ENTREPRISE, FAE, FIGEREC) sont gérées par Olivier BOSSARD </w:t>
      </w:r>
      <w:r w:rsidR="005B053A">
        <w:t xml:space="preserve">en qualité de mandataire social des sociétés AB ENTREPRISE, FAE et FIGEREC </w:t>
      </w:r>
      <w:r>
        <w:t>et</w:t>
      </w:r>
      <w:r w:rsidR="005B053A">
        <w:t xml:space="preserve"> au titre de son activité libérale ainsi </w:t>
      </w:r>
      <w:r w:rsidR="00C81453">
        <w:t xml:space="preserve">que </w:t>
      </w:r>
      <w:r>
        <w:t>par Bruno FOURRIER</w:t>
      </w:r>
      <w:r w:rsidR="005B053A">
        <w:t xml:space="preserve"> associé de la société FIGEREC qui forment les organes de gouvernance</w:t>
      </w:r>
      <w:r w:rsidR="00A642A7">
        <w:t xml:space="preserve"> du cabinet</w:t>
      </w:r>
      <w:r>
        <w:t>.</w:t>
      </w:r>
    </w:p>
    <w:p w:rsidR="008E2695" w:rsidRDefault="008E2695" w:rsidP="006273AF">
      <w:pPr>
        <w:ind w:left="558"/>
      </w:pPr>
    </w:p>
    <w:p w:rsidR="006273AF" w:rsidRDefault="006273AF" w:rsidP="006273AF">
      <w:pPr>
        <w:pStyle w:val="Titre2"/>
        <w:ind w:left="1134"/>
      </w:pPr>
      <w:r>
        <w:t>Gestion des activités du cabinet</w:t>
      </w:r>
    </w:p>
    <w:p w:rsidR="00896266" w:rsidRDefault="00896266" w:rsidP="00D7725A">
      <w:pPr>
        <w:ind w:left="558"/>
        <w:jc w:val="both"/>
      </w:pPr>
    </w:p>
    <w:p w:rsidR="006273AF" w:rsidRDefault="006273AF" w:rsidP="00D7725A">
      <w:pPr>
        <w:ind w:left="558"/>
        <w:jc w:val="both"/>
      </w:pPr>
      <w:r>
        <w:t xml:space="preserve">La gestion des activités du cabinet est coordonnée par </w:t>
      </w:r>
      <w:r w:rsidR="00302BDF">
        <w:t>les associés qui se réunissent en tant que besoin pour examiner les questions portant sur</w:t>
      </w:r>
      <w:r>
        <w:t> :</w:t>
      </w:r>
    </w:p>
    <w:p w:rsidR="006273AF" w:rsidRDefault="00302BDF" w:rsidP="00D7725A">
      <w:pPr>
        <w:pStyle w:val="Paragraphedeliste"/>
        <w:numPr>
          <w:ilvl w:val="0"/>
          <w:numId w:val="4"/>
        </w:numPr>
        <w:jc w:val="both"/>
      </w:pPr>
      <w:r>
        <w:t>L’acceptation</w:t>
      </w:r>
      <w:r w:rsidR="00C81453">
        <w:t xml:space="preserve">, le </w:t>
      </w:r>
      <w:r w:rsidR="006273AF">
        <w:t>maintien et la planification des missions,</w:t>
      </w:r>
    </w:p>
    <w:p w:rsidR="006273AF" w:rsidRDefault="00302BDF" w:rsidP="00D7725A">
      <w:pPr>
        <w:pStyle w:val="Paragraphedeliste"/>
        <w:numPr>
          <w:ilvl w:val="0"/>
          <w:numId w:val="4"/>
        </w:numPr>
        <w:jc w:val="both"/>
      </w:pPr>
      <w:proofErr w:type="gramStart"/>
      <w:r>
        <w:t xml:space="preserve">Le </w:t>
      </w:r>
      <w:r w:rsidR="006273AF">
        <w:t xml:space="preserve"> recrutement</w:t>
      </w:r>
      <w:proofErr w:type="gramEnd"/>
      <w:r w:rsidR="006273AF">
        <w:t xml:space="preserve"> des collaborateurs,</w:t>
      </w:r>
    </w:p>
    <w:p w:rsidR="006273AF" w:rsidRDefault="00302BDF" w:rsidP="00D7725A">
      <w:pPr>
        <w:pStyle w:val="Paragraphedeliste"/>
        <w:numPr>
          <w:ilvl w:val="0"/>
          <w:numId w:val="4"/>
        </w:numPr>
        <w:jc w:val="both"/>
      </w:pPr>
      <w:r>
        <w:t>L’</w:t>
      </w:r>
      <w:r w:rsidR="006273AF">
        <w:t>évaluation, la formation et la rémunération des collaborateurs,</w:t>
      </w:r>
    </w:p>
    <w:p w:rsidR="006273AF" w:rsidRDefault="00302BDF" w:rsidP="00D7725A">
      <w:pPr>
        <w:pStyle w:val="Paragraphedeliste"/>
        <w:numPr>
          <w:ilvl w:val="0"/>
          <w:numId w:val="4"/>
        </w:numPr>
        <w:jc w:val="both"/>
      </w:pPr>
      <w:proofErr w:type="gramStart"/>
      <w:r>
        <w:t xml:space="preserve">La </w:t>
      </w:r>
      <w:r w:rsidR="006273AF">
        <w:t xml:space="preserve"> gestion</w:t>
      </w:r>
      <w:proofErr w:type="gramEnd"/>
      <w:r w:rsidR="006273AF">
        <w:t xml:space="preserve"> des risques </w:t>
      </w:r>
      <w:r w:rsidR="00CB571B">
        <w:t>déontologiques</w:t>
      </w:r>
      <w:r w:rsidR="00C81453">
        <w:t>,</w:t>
      </w:r>
    </w:p>
    <w:p w:rsidR="00CB571B" w:rsidRDefault="00302BDF" w:rsidP="00D7725A">
      <w:pPr>
        <w:pStyle w:val="Paragraphedeliste"/>
        <w:numPr>
          <w:ilvl w:val="0"/>
          <w:numId w:val="4"/>
        </w:numPr>
        <w:jc w:val="both"/>
      </w:pPr>
      <w:proofErr w:type="gramStart"/>
      <w:r>
        <w:t xml:space="preserve">La </w:t>
      </w:r>
      <w:r w:rsidR="002C2E4F">
        <w:t xml:space="preserve"> démarche</w:t>
      </w:r>
      <w:proofErr w:type="gramEnd"/>
      <w:r w:rsidR="00CB571B">
        <w:t xml:space="preserve"> qualité.</w:t>
      </w:r>
    </w:p>
    <w:p w:rsidR="00AE037A" w:rsidRDefault="00AE037A" w:rsidP="00D7725A">
      <w:pPr>
        <w:pStyle w:val="Paragraphedeliste"/>
        <w:numPr>
          <w:ilvl w:val="0"/>
          <w:numId w:val="4"/>
        </w:numPr>
        <w:jc w:val="both"/>
      </w:pPr>
    </w:p>
    <w:p w:rsidR="008E2695" w:rsidRDefault="00CB571B" w:rsidP="008E2695">
      <w:pPr>
        <w:pStyle w:val="Titre1"/>
      </w:pPr>
      <w:r>
        <w:t>Gestion des risques</w:t>
      </w:r>
    </w:p>
    <w:p w:rsidR="008E2695" w:rsidRDefault="008E2695" w:rsidP="008E2695">
      <w:pPr>
        <w:ind w:left="417"/>
      </w:pPr>
    </w:p>
    <w:p w:rsidR="008E2695" w:rsidRPr="00CB571B" w:rsidRDefault="008E2695" w:rsidP="008E2695">
      <w:pPr>
        <w:ind w:left="414"/>
      </w:pPr>
      <w:r>
        <w:t xml:space="preserve">Le cabinet dispose d’un manuel des procédures internes dont la mise en œuvre permet d’assurer un suivi d’un système de qualité </w:t>
      </w:r>
      <w:r w:rsidR="005F20CD">
        <w:t xml:space="preserve">afin de s’assurer que </w:t>
      </w:r>
      <w:proofErr w:type="gramStart"/>
      <w:r w:rsidR="005F20CD">
        <w:t xml:space="preserve">les </w:t>
      </w:r>
      <w:r>
        <w:t xml:space="preserve"> </w:t>
      </w:r>
      <w:r w:rsidR="005F20CD">
        <w:t>ressources</w:t>
      </w:r>
      <w:proofErr w:type="gramEnd"/>
      <w:r w:rsidR="005F20CD">
        <w:t xml:space="preserve"> et la méthodologie dont le cabinet dispose sont appropriées  par rapport aux </w:t>
      </w:r>
      <w:r>
        <w:t xml:space="preserve">missions d’audit qui sont confiées au cabinet.  </w:t>
      </w:r>
    </w:p>
    <w:p w:rsidR="008E2695" w:rsidRDefault="008E2695" w:rsidP="008E2695">
      <w:pPr>
        <w:ind w:left="417"/>
      </w:pPr>
      <w:r>
        <w:lastRenderedPageBreak/>
        <w:t>Cette organisation est en phase avec les obligations règlementaires européennes et permet une supervision externe de notre profession par le haut conseil au commissariat aux comptes (H3C).</w:t>
      </w:r>
    </w:p>
    <w:p w:rsidR="008E2695" w:rsidRDefault="008E2695" w:rsidP="008E2695">
      <w:pPr>
        <w:ind w:left="417"/>
      </w:pPr>
      <w:r>
        <w:t>Notre cabinet a fait l’objet d’un contrôle d’activité par le H3C qui a</w:t>
      </w:r>
      <w:r w:rsidR="00896266">
        <w:t xml:space="preserve"> eu lieu au mois de janvier 2016.</w:t>
      </w:r>
    </w:p>
    <w:p w:rsidR="00AE037A" w:rsidRPr="008E2695" w:rsidRDefault="00AE037A" w:rsidP="008E2695">
      <w:pPr>
        <w:ind w:left="417"/>
      </w:pPr>
    </w:p>
    <w:p w:rsidR="00CB571B" w:rsidRDefault="00CB571B" w:rsidP="00CB571B">
      <w:pPr>
        <w:pStyle w:val="Titre2"/>
        <w:ind w:left="993"/>
      </w:pPr>
      <w:r>
        <w:t>Indépendance</w:t>
      </w:r>
    </w:p>
    <w:p w:rsidR="00CB571B" w:rsidRDefault="00CB571B" w:rsidP="00CB571B">
      <w:pPr>
        <w:pStyle w:val="Titre4"/>
        <w:numPr>
          <w:ilvl w:val="0"/>
          <w:numId w:val="0"/>
        </w:numPr>
        <w:ind w:left="864" w:hanging="864"/>
      </w:pPr>
    </w:p>
    <w:p w:rsidR="00CB571B" w:rsidRDefault="00CB571B" w:rsidP="00CB571B">
      <w:pPr>
        <w:pStyle w:val="Titre3"/>
        <w:ind w:left="1134"/>
      </w:pPr>
      <w:r>
        <w:t>Déclarations d’indépendance et contrats de travail</w:t>
      </w:r>
    </w:p>
    <w:p w:rsidR="00896266" w:rsidRPr="00896266" w:rsidRDefault="00896266" w:rsidP="00896266"/>
    <w:p w:rsidR="005F20CD" w:rsidRDefault="00230718" w:rsidP="00D7725A">
      <w:pPr>
        <w:ind w:left="414"/>
        <w:jc w:val="both"/>
      </w:pPr>
      <w:r>
        <w:t xml:space="preserve">Chaque </w:t>
      </w:r>
      <w:r w:rsidR="00CB571B">
        <w:t>associ</w:t>
      </w:r>
      <w:r>
        <w:t xml:space="preserve">é et </w:t>
      </w:r>
      <w:r w:rsidR="00AB65D4">
        <w:t xml:space="preserve">collaborateur </w:t>
      </w:r>
      <w:r w:rsidR="000844D5">
        <w:t>intervenant</w:t>
      </w:r>
      <w:r w:rsidR="00141A02">
        <w:t xml:space="preserve"> su</w:t>
      </w:r>
      <w:r w:rsidR="00C81453">
        <w:t>r</w:t>
      </w:r>
      <w:r w:rsidR="00141A02">
        <w:t xml:space="preserve"> des missions de commissariat aux comptes </w:t>
      </w:r>
      <w:r w:rsidR="00AB65D4">
        <w:t>signe</w:t>
      </w:r>
      <w:r w:rsidR="005F20CD">
        <w:t xml:space="preserve"> </w:t>
      </w:r>
      <w:r w:rsidR="00CB571B">
        <w:t xml:space="preserve">une déclaration </w:t>
      </w:r>
      <w:r w:rsidR="005F20CD">
        <w:t xml:space="preserve">annuelle </w:t>
      </w:r>
      <w:r w:rsidR="00CB571B">
        <w:t xml:space="preserve">d’indépendance rappelant l’obligation de signaler à la direction du cabinet l’existence de toute situation personnelle susceptible de remettre en cause l’indépendance du cabinet et renvoyant à la liste des clients du cabinet consultable sur le réseau informatique. </w:t>
      </w:r>
    </w:p>
    <w:p w:rsidR="00CB571B" w:rsidRDefault="00CB571B" w:rsidP="00D7725A">
      <w:pPr>
        <w:ind w:left="414"/>
        <w:jc w:val="both"/>
      </w:pPr>
      <w:r>
        <w:t>L</w:t>
      </w:r>
      <w:r w:rsidR="002C2E4F">
        <w:t>a</w:t>
      </w:r>
      <w:r>
        <w:t xml:space="preserve"> </w:t>
      </w:r>
      <w:r w:rsidR="002C2E4F">
        <w:t xml:space="preserve">responsable </w:t>
      </w:r>
      <w:r w:rsidR="00AB65D4">
        <w:t>administrative</w:t>
      </w:r>
      <w:r w:rsidR="002C2E4F">
        <w:t xml:space="preserve"> </w:t>
      </w:r>
      <w:r>
        <w:t>du cabinet est chargé</w:t>
      </w:r>
      <w:r w:rsidR="005F20CD">
        <w:t>e</w:t>
      </w:r>
      <w:r>
        <w:t xml:space="preserve"> de s’assurer de la signature des déclarations d’indépendance.</w:t>
      </w:r>
    </w:p>
    <w:p w:rsidR="00CB571B" w:rsidRDefault="00CB571B" w:rsidP="00D7725A">
      <w:pPr>
        <w:ind w:left="414"/>
        <w:jc w:val="both"/>
      </w:pPr>
      <w:r>
        <w:t>Les contrats de travail comportent une clause faisant référence au respect du Code de déontologie professionnelle des commissaires aux comptes.</w:t>
      </w:r>
    </w:p>
    <w:p w:rsidR="005F20CD" w:rsidRDefault="00896266" w:rsidP="00D7725A">
      <w:pPr>
        <w:ind w:left="414"/>
        <w:jc w:val="both"/>
      </w:pPr>
      <w:r>
        <w:t xml:space="preserve">L’indépendance porte sur le </w:t>
      </w:r>
      <w:proofErr w:type="gramStart"/>
      <w:r w:rsidR="005F20CD">
        <w:t xml:space="preserve">respect  </w:t>
      </w:r>
      <w:r>
        <w:t>permanent</w:t>
      </w:r>
      <w:proofErr w:type="gramEnd"/>
      <w:r>
        <w:t xml:space="preserve"> </w:t>
      </w:r>
      <w:r w:rsidR="003276C3">
        <w:t>des principes suivants</w:t>
      </w:r>
      <w:r w:rsidR="005F20CD">
        <w:t>:</w:t>
      </w:r>
    </w:p>
    <w:p w:rsidR="005F20CD" w:rsidRDefault="00896266" w:rsidP="00896266">
      <w:pPr>
        <w:pStyle w:val="Sansinterligne"/>
        <w:ind w:left="414"/>
      </w:pPr>
      <w:r>
        <w:t>-</w:t>
      </w:r>
      <w:r w:rsidR="004E3AB6">
        <w:t>signature d</w:t>
      </w:r>
      <w:r w:rsidR="005D0D3B">
        <w:t>’une</w:t>
      </w:r>
      <w:r w:rsidR="004E3AB6">
        <w:t xml:space="preserve"> d</w:t>
      </w:r>
      <w:r>
        <w:t>éclaration d’indépendance</w:t>
      </w:r>
      <w:r w:rsidR="004E3AB6">
        <w:t xml:space="preserve"> annuelle</w:t>
      </w:r>
    </w:p>
    <w:p w:rsidR="005F20CD" w:rsidRDefault="005F20CD" w:rsidP="00896266">
      <w:pPr>
        <w:pStyle w:val="Sansinterligne"/>
        <w:ind w:left="414"/>
      </w:pPr>
      <w:r>
        <w:t>-Absence de conflit d’intérêts</w:t>
      </w:r>
      <w:r w:rsidR="004E3AB6">
        <w:t xml:space="preserve"> en matière d’acceptation des missions</w:t>
      </w:r>
    </w:p>
    <w:p w:rsidR="00896266" w:rsidRDefault="005F20CD" w:rsidP="000B4C5C">
      <w:pPr>
        <w:pStyle w:val="Sansinterligne"/>
        <w:ind w:left="414"/>
      </w:pPr>
      <w:r>
        <w:t>-</w:t>
      </w:r>
      <w:r w:rsidR="004E3AB6">
        <w:t>Conditions de m</w:t>
      </w:r>
      <w:r>
        <w:t xml:space="preserve">aintien et poursuite des missions  </w:t>
      </w:r>
    </w:p>
    <w:p w:rsidR="00896266" w:rsidRDefault="00896266" w:rsidP="003276C3">
      <w:pPr>
        <w:pStyle w:val="Sansinterligne"/>
        <w:ind w:left="414"/>
      </w:pPr>
      <w:r>
        <w:t>-Rotation des associés</w:t>
      </w:r>
      <w:r w:rsidR="003276C3">
        <w:t xml:space="preserve"> pour les mandats concernés</w:t>
      </w:r>
    </w:p>
    <w:p w:rsidR="00896266" w:rsidRDefault="00896266" w:rsidP="00896266">
      <w:pPr>
        <w:pStyle w:val="Sansinterligne"/>
        <w:ind w:left="414"/>
      </w:pPr>
      <w:r>
        <w:t>-</w:t>
      </w:r>
      <w:r w:rsidR="003276C3">
        <w:t>Exigence en matière de secret professionnel et d</w:t>
      </w:r>
      <w:r>
        <w:t>élit d’initié</w:t>
      </w:r>
      <w:r w:rsidR="003276C3">
        <w:t xml:space="preserve">s concernant les clients dont les </w:t>
      </w:r>
      <w:r w:rsidR="00230718">
        <w:t xml:space="preserve">   </w:t>
      </w:r>
      <w:r w:rsidR="003276C3">
        <w:t>titres sont admis sur un marché règlementé</w:t>
      </w:r>
    </w:p>
    <w:p w:rsidR="00896266" w:rsidRDefault="00896266" w:rsidP="00896266">
      <w:pPr>
        <w:pStyle w:val="Sansinterligne"/>
        <w:ind w:left="414"/>
      </w:pPr>
    </w:p>
    <w:p w:rsidR="00AE037A" w:rsidRDefault="00F135CE" w:rsidP="00896266">
      <w:pPr>
        <w:pStyle w:val="Sansinterligne"/>
        <w:ind w:left="414"/>
      </w:pPr>
      <w:r>
        <w:t>L’application de ces principes est développée ci-</w:t>
      </w:r>
      <w:r w:rsidR="00F80969">
        <w:t>dessous</w:t>
      </w:r>
      <w:r>
        <w:t>.</w:t>
      </w:r>
    </w:p>
    <w:p w:rsidR="00AE037A" w:rsidRDefault="00AE037A" w:rsidP="00896266">
      <w:pPr>
        <w:pStyle w:val="Sansinterligne"/>
        <w:ind w:left="414"/>
      </w:pPr>
    </w:p>
    <w:p w:rsidR="00F135CE" w:rsidRDefault="00F135CE" w:rsidP="00896266">
      <w:pPr>
        <w:pStyle w:val="Sansinterligne"/>
        <w:ind w:left="414"/>
      </w:pPr>
      <w:r>
        <w:t xml:space="preserve"> </w:t>
      </w:r>
    </w:p>
    <w:p w:rsidR="00CB571B" w:rsidRDefault="00CB571B" w:rsidP="00CB571B">
      <w:pPr>
        <w:pStyle w:val="Titre3"/>
        <w:ind w:left="1134"/>
      </w:pPr>
      <w:r>
        <w:t>Analyse du portefeuille des mandats</w:t>
      </w:r>
    </w:p>
    <w:p w:rsidR="00CB571B" w:rsidRDefault="00CB571B" w:rsidP="00CB571B"/>
    <w:p w:rsidR="00CB571B" w:rsidRDefault="002C2E4F" w:rsidP="00D7725A">
      <w:pPr>
        <w:ind w:left="414"/>
        <w:jc w:val="both"/>
      </w:pPr>
      <w:r>
        <w:t xml:space="preserve">Les associés </w:t>
      </w:r>
      <w:r w:rsidR="00CB571B">
        <w:t>dispose</w:t>
      </w:r>
      <w:r>
        <w:t>nt</w:t>
      </w:r>
      <w:r w:rsidR="00CB571B">
        <w:t xml:space="preserve"> d’une analyse de</w:t>
      </w:r>
      <w:r>
        <w:t>s</w:t>
      </w:r>
      <w:r w:rsidR="00CB571B">
        <w:t xml:space="preserve"> mandats de commissaire aux comp</w:t>
      </w:r>
      <w:r w:rsidR="005D2591">
        <w:t xml:space="preserve">tes par </w:t>
      </w:r>
      <w:r w:rsidR="00E45455">
        <w:t xml:space="preserve">montant honoraires </w:t>
      </w:r>
      <w:r w:rsidR="00CB571B">
        <w:t>qui lui permet de s’assurer de l’absence de risque de dépendance financière vis-à-vis d’un client.</w:t>
      </w:r>
    </w:p>
    <w:p w:rsidR="00CB571B" w:rsidRDefault="001A74B3" w:rsidP="00A202EC">
      <w:pPr>
        <w:pStyle w:val="Titre3"/>
        <w:ind w:left="1134"/>
      </w:pPr>
      <w:r>
        <w:t>Acceptation d’une mission de commissariat aux comptes</w:t>
      </w:r>
    </w:p>
    <w:p w:rsidR="001A74B3" w:rsidRDefault="001A74B3" w:rsidP="001A74B3"/>
    <w:p w:rsidR="001A74B3" w:rsidRDefault="001A74B3" w:rsidP="00D7725A">
      <w:pPr>
        <w:jc w:val="both"/>
      </w:pPr>
      <w:r>
        <w:t>Toute proposition de mission de commissariat aux comptes fait l’objet d’une procédure d’acceptation de mandat formalisée. L’associé pressenti pour être signataire du dossier doit :</w:t>
      </w:r>
    </w:p>
    <w:p w:rsidR="001A74B3" w:rsidRDefault="001A74B3" w:rsidP="00D7725A">
      <w:pPr>
        <w:pStyle w:val="Paragraphedeliste"/>
        <w:numPr>
          <w:ilvl w:val="0"/>
          <w:numId w:val="4"/>
        </w:numPr>
        <w:jc w:val="both"/>
      </w:pPr>
      <w:r>
        <w:t>Collecter les informations pertinentes sur l’entité,</w:t>
      </w:r>
    </w:p>
    <w:p w:rsidR="001A74B3" w:rsidRDefault="001A74B3" w:rsidP="00D7725A">
      <w:pPr>
        <w:pStyle w:val="Paragraphedeliste"/>
        <w:numPr>
          <w:ilvl w:val="0"/>
          <w:numId w:val="4"/>
        </w:numPr>
        <w:jc w:val="both"/>
      </w:pPr>
      <w:r>
        <w:t>Vérifier l’absence de situation de conflits d’intérêts,</w:t>
      </w:r>
    </w:p>
    <w:p w:rsidR="001A74B3" w:rsidRDefault="001A74B3" w:rsidP="00D7725A">
      <w:pPr>
        <w:pStyle w:val="Paragraphedeliste"/>
        <w:numPr>
          <w:ilvl w:val="0"/>
          <w:numId w:val="4"/>
        </w:numPr>
        <w:jc w:val="both"/>
      </w:pPr>
      <w:r>
        <w:t xml:space="preserve">Vérifier l’absence de </w:t>
      </w:r>
      <w:r w:rsidR="00796BEB">
        <w:t>liens personnels, financiers et professionnels,</w:t>
      </w:r>
    </w:p>
    <w:p w:rsidR="00796BEB" w:rsidRDefault="00796BEB" w:rsidP="00D7725A">
      <w:pPr>
        <w:pStyle w:val="Paragraphedeliste"/>
        <w:numPr>
          <w:ilvl w:val="0"/>
          <w:numId w:val="4"/>
        </w:numPr>
        <w:jc w:val="both"/>
      </w:pPr>
      <w:r>
        <w:lastRenderedPageBreak/>
        <w:t>Le cas échéant analyser la nature des missions réalisées antérieurement pour l’entité intéressée (ou pour l’entité qui la contrôle ou qui est contrôlée par elle),</w:t>
      </w:r>
    </w:p>
    <w:p w:rsidR="00796BEB" w:rsidRDefault="00796BEB" w:rsidP="00D7725A">
      <w:pPr>
        <w:pStyle w:val="Paragraphedeliste"/>
        <w:numPr>
          <w:ilvl w:val="0"/>
          <w:numId w:val="4"/>
        </w:numPr>
        <w:jc w:val="both"/>
      </w:pPr>
      <w:r>
        <w:t xml:space="preserve">Prendre </w:t>
      </w:r>
      <w:r w:rsidR="005D3A4E">
        <w:t>contact avec le prédécesseur conformément aux dispositions du Code de déontologie professionnelle,</w:t>
      </w:r>
    </w:p>
    <w:p w:rsidR="005D3A4E" w:rsidRDefault="005D3A4E" w:rsidP="00D7725A">
      <w:pPr>
        <w:pStyle w:val="Paragraphedeliste"/>
        <w:numPr>
          <w:ilvl w:val="0"/>
          <w:numId w:val="4"/>
        </w:numPr>
        <w:jc w:val="both"/>
      </w:pPr>
      <w:r>
        <w:t>Avertir l’AMF conformément aux dispositions légales s’</w:t>
      </w:r>
      <w:r w:rsidR="008F22E0">
        <w:t xml:space="preserve">il s’agit d’une société </w:t>
      </w:r>
      <w:r>
        <w:t>dont les titres sont admis aux négociations sont cotés sur marché réglementé.</w:t>
      </w:r>
    </w:p>
    <w:p w:rsidR="005D3A4E" w:rsidRDefault="005D3A4E" w:rsidP="00D7725A">
      <w:pPr>
        <w:jc w:val="both"/>
      </w:pPr>
      <w:r>
        <w:t>Cette démarche est matérialisée par l’établissement d’un questionnaire d’acceptation de mission.</w:t>
      </w:r>
    </w:p>
    <w:p w:rsidR="005D3A4E" w:rsidRDefault="005D3A4E" w:rsidP="00D7725A">
      <w:pPr>
        <w:jc w:val="both"/>
      </w:pPr>
      <w:r>
        <w:t>Une procédure de contrôle du respect des obligations déontologiques est également mise en œuvre à la fin de chaque exercice du mandat.</w:t>
      </w:r>
    </w:p>
    <w:p w:rsidR="004E10C1" w:rsidRDefault="004E10C1" w:rsidP="00D7725A">
      <w:pPr>
        <w:jc w:val="both"/>
      </w:pPr>
    </w:p>
    <w:p w:rsidR="007825E3" w:rsidRDefault="007825E3" w:rsidP="00A202EC">
      <w:pPr>
        <w:pStyle w:val="Titre3"/>
        <w:ind w:left="1134"/>
      </w:pPr>
      <w:r>
        <w:t>Respect des obligations de rotation</w:t>
      </w:r>
    </w:p>
    <w:p w:rsidR="007825E3" w:rsidRDefault="007825E3" w:rsidP="007825E3"/>
    <w:p w:rsidR="007825E3" w:rsidRDefault="007825E3" w:rsidP="00D7725A">
      <w:pPr>
        <w:jc w:val="both"/>
      </w:pPr>
      <w:r>
        <w:t>Afin de respecter l’obligation de rotation applicable aux signataires de mandats d’entités dont les titres sont admis aux négociations sur un marché réglementé, le cabinet tient à jour la liste des dates de rotation et prépare une liste des associés pressentis pour assurer la rotation.</w:t>
      </w:r>
    </w:p>
    <w:p w:rsidR="00313100" w:rsidRDefault="00313100" w:rsidP="00D7725A">
      <w:pPr>
        <w:jc w:val="both"/>
      </w:pPr>
    </w:p>
    <w:p w:rsidR="007825E3" w:rsidRDefault="007825E3" w:rsidP="007825E3">
      <w:pPr>
        <w:pStyle w:val="Titre2"/>
      </w:pPr>
      <w:r>
        <w:t>Contrôle qualité</w:t>
      </w:r>
    </w:p>
    <w:p w:rsidR="007825E3" w:rsidRDefault="007825E3" w:rsidP="007825E3"/>
    <w:p w:rsidR="007825E3" w:rsidRDefault="007825E3" w:rsidP="00A202EC">
      <w:pPr>
        <w:pStyle w:val="Titre3"/>
        <w:ind w:left="1134"/>
      </w:pPr>
      <w:r>
        <w:t>Contrôle qualité des dossiers</w:t>
      </w:r>
    </w:p>
    <w:p w:rsidR="007825E3" w:rsidRPr="007825E3" w:rsidRDefault="007825E3" w:rsidP="007825E3"/>
    <w:p w:rsidR="007825E3" w:rsidRDefault="007825E3" w:rsidP="00D7725A">
      <w:pPr>
        <w:jc w:val="both"/>
      </w:pPr>
      <w:r>
        <w:t>Chaque étape du processus de réal</w:t>
      </w:r>
      <w:r w:rsidR="00FB3736">
        <w:t xml:space="preserve">isation d’une mission, depuis son </w:t>
      </w:r>
      <w:r>
        <w:t>acceptation jusqu’à l’émission des rapports, fait l’objet d’une supervision par l’associé signataire et par le responsable de mission, matérialisée dans les dossiers de travail.</w:t>
      </w:r>
    </w:p>
    <w:p w:rsidR="007825E3" w:rsidRDefault="007825E3" w:rsidP="00D7725A">
      <w:pPr>
        <w:jc w:val="both"/>
      </w:pPr>
      <w:r>
        <w:t>Les missions de commissariat aux comptes de sociétés dont l</w:t>
      </w:r>
      <w:r w:rsidR="00C15CA6">
        <w:t xml:space="preserve">es titres sont admis </w:t>
      </w:r>
      <w:r w:rsidR="00C81453">
        <w:t>sur un marché réglementé f</w:t>
      </w:r>
      <w:r>
        <w:t>ont l’objet d’une revue indépendante systématique, effectuée par un associé ou un directeur du cabinet préalablement à la signature des rapports.</w:t>
      </w:r>
    </w:p>
    <w:p w:rsidR="004E10C1" w:rsidRDefault="000A3ED9" w:rsidP="004E10C1">
      <w:pPr>
        <w:jc w:val="both"/>
      </w:pPr>
      <w:r>
        <w:t>Cette revue</w:t>
      </w:r>
      <w:r w:rsidR="004E10C1">
        <w:t xml:space="preserve"> est effectuée au moment de l’émission des rapports </w:t>
      </w:r>
      <w:r w:rsidR="00C81453">
        <w:t xml:space="preserve">et </w:t>
      </w:r>
      <w:r w:rsidR="004E10C1">
        <w:t>porte notamment sur les points suivants :</w:t>
      </w:r>
    </w:p>
    <w:p w:rsidR="004E10C1" w:rsidRDefault="004E10C1" w:rsidP="004E10C1">
      <w:pPr>
        <w:jc w:val="both"/>
      </w:pPr>
      <w:r>
        <w:t>-Vérification de l’existence de la supervision par l’associé signataire</w:t>
      </w:r>
    </w:p>
    <w:p w:rsidR="004E10C1" w:rsidRDefault="004E10C1" w:rsidP="004E10C1">
      <w:pPr>
        <w:jc w:val="both"/>
      </w:pPr>
      <w:r>
        <w:t>-Plan de mission et note de synthèse</w:t>
      </w:r>
    </w:p>
    <w:p w:rsidR="004E10C1" w:rsidRDefault="004E10C1" w:rsidP="004E10C1">
      <w:pPr>
        <w:jc w:val="both"/>
      </w:pPr>
      <w:r>
        <w:t>-Cohérence des éléments du dossier de travail avec l’opinion et la rédaction des rapports</w:t>
      </w:r>
    </w:p>
    <w:p w:rsidR="004E10C1" w:rsidRDefault="007825E3" w:rsidP="00D7725A">
      <w:pPr>
        <w:jc w:val="both"/>
      </w:pPr>
      <w:r>
        <w:t>Pour les autres mandats</w:t>
      </w:r>
      <w:r w:rsidR="004E10C1">
        <w:t xml:space="preserve"> dont les titres ne sont pas admis sur un marché réglementé</w:t>
      </w:r>
      <w:r>
        <w:t xml:space="preserve">, la revue indépendante est optionnelle, </w:t>
      </w:r>
      <w:r w:rsidR="00175DEA">
        <w:t xml:space="preserve">prise </w:t>
      </w:r>
      <w:r>
        <w:t>sur décision de l’associé signataire</w:t>
      </w:r>
      <w:r w:rsidR="00175DEA">
        <w:t>,</w:t>
      </w:r>
      <w:r w:rsidR="00245E4B">
        <w:t xml:space="preserve"> en fonction de l’existence </w:t>
      </w:r>
      <w:r w:rsidR="00EF5811">
        <w:t xml:space="preserve">ou non </w:t>
      </w:r>
      <w:r w:rsidR="00245E4B">
        <w:t xml:space="preserve">de critères de risques portant l’exécution des diligences </w:t>
      </w:r>
      <w:r w:rsidR="00EF5811">
        <w:t>et l’entité contrôlée</w:t>
      </w:r>
      <w:r>
        <w:t>.</w:t>
      </w:r>
    </w:p>
    <w:p w:rsidR="00410E78" w:rsidRDefault="00410E78" w:rsidP="00D7725A">
      <w:pPr>
        <w:jc w:val="both"/>
      </w:pPr>
    </w:p>
    <w:p w:rsidR="00527D94" w:rsidRDefault="00527D94" w:rsidP="00D7725A">
      <w:pPr>
        <w:jc w:val="both"/>
      </w:pPr>
    </w:p>
    <w:p w:rsidR="00527D94" w:rsidRDefault="00527D94" w:rsidP="00D7725A">
      <w:pPr>
        <w:jc w:val="both"/>
      </w:pPr>
    </w:p>
    <w:p w:rsidR="007825E3" w:rsidRDefault="007825E3" w:rsidP="00A202EC">
      <w:pPr>
        <w:pStyle w:val="Titre3"/>
        <w:ind w:left="1134"/>
      </w:pPr>
      <w:r>
        <w:lastRenderedPageBreak/>
        <w:t>Contrôle qualité périodique mentionné à l’article L.821-7 du Code de commerce</w:t>
      </w:r>
    </w:p>
    <w:p w:rsidR="007825E3" w:rsidRDefault="007825E3" w:rsidP="007825E3"/>
    <w:p w:rsidR="00330947" w:rsidRDefault="00330947" w:rsidP="00D7725A">
      <w:pPr>
        <w:jc w:val="both"/>
      </w:pPr>
      <w:r>
        <w:t xml:space="preserve">Le dernier contrôle qualité périodique mentionnés au b de l’article L.821-7 du Code de commerce (contrôle H3C/CNCC) dont a bénéficié le cabinet a été réalisé en </w:t>
      </w:r>
      <w:r w:rsidR="00F135CE">
        <w:t>2016.</w:t>
      </w:r>
    </w:p>
    <w:p w:rsidR="00410E78" w:rsidRDefault="00410E78" w:rsidP="00D7725A">
      <w:pPr>
        <w:jc w:val="both"/>
      </w:pPr>
    </w:p>
    <w:p w:rsidR="00330947" w:rsidRDefault="00330947" w:rsidP="00A202EC">
      <w:pPr>
        <w:pStyle w:val="Titre3"/>
        <w:ind w:left="1134"/>
      </w:pPr>
      <w:r>
        <w:t>Vérification de l’efficacité du système de gestion des risques</w:t>
      </w:r>
    </w:p>
    <w:p w:rsidR="00245E4B" w:rsidRDefault="00245E4B" w:rsidP="00D7725A">
      <w:pPr>
        <w:jc w:val="both"/>
      </w:pPr>
    </w:p>
    <w:p w:rsidR="00410E78" w:rsidRDefault="00330947" w:rsidP="00D7725A">
      <w:pPr>
        <w:jc w:val="both"/>
      </w:pPr>
      <w:r>
        <w:t xml:space="preserve">La vérification par la direction du cabinet de l’efficacité du système de gestion des risques repose essentiellement sur l’examen des résultats du </w:t>
      </w:r>
      <w:r w:rsidR="00C05F87">
        <w:t>contrôle</w:t>
      </w:r>
      <w:r>
        <w:t xml:space="preserve"> qualité réalisé chaque année par les associés. </w:t>
      </w:r>
    </w:p>
    <w:p w:rsidR="00410E78" w:rsidRDefault="00330947" w:rsidP="00D7725A">
      <w:pPr>
        <w:jc w:val="both"/>
      </w:pPr>
      <w:r>
        <w:t xml:space="preserve">Ces résultats sont examinés par Olivier BOSSARD et font l’objet d’un plan d’action. </w:t>
      </w:r>
    </w:p>
    <w:p w:rsidR="00330947" w:rsidRDefault="00330947" w:rsidP="00D7725A">
      <w:pPr>
        <w:jc w:val="both"/>
      </w:pPr>
      <w:r>
        <w:t>Le plan d’action est communiqué à l’ensemble des collaborateurs.</w:t>
      </w:r>
    </w:p>
    <w:p w:rsidR="00330947" w:rsidRDefault="00330947" w:rsidP="00330947">
      <w:pPr>
        <w:pStyle w:val="Titre1"/>
      </w:pPr>
      <w:r>
        <w:t>Déclarations spécifiques</w:t>
      </w:r>
    </w:p>
    <w:p w:rsidR="00330947" w:rsidRDefault="00330947" w:rsidP="007825E3"/>
    <w:p w:rsidR="00490C33" w:rsidRDefault="00330947" w:rsidP="00AE037A">
      <w:pPr>
        <w:jc w:val="both"/>
      </w:pPr>
      <w:r>
        <w:t>Nous confirmons que les pratiques d’indépendance mises en place au sein de l’ensemble des entités formant le Cabinet Olivier BOSSARD ont fait l’o</w:t>
      </w:r>
      <w:r w:rsidR="00AE037A">
        <w:t>bjet d’une vérification interne.</w:t>
      </w:r>
    </w:p>
    <w:p w:rsidR="00313100" w:rsidRDefault="00313100" w:rsidP="00490C33"/>
    <w:p w:rsidR="00330947" w:rsidRDefault="00490C33" w:rsidP="00490C33">
      <w:pPr>
        <w:jc w:val="center"/>
      </w:pPr>
      <w:r>
        <w:t xml:space="preserve">Fait à </w:t>
      </w:r>
      <w:r w:rsidR="00410E78">
        <w:t>Levallois-Perret</w:t>
      </w:r>
      <w:r w:rsidR="00313100">
        <w:t>,</w:t>
      </w:r>
      <w:r w:rsidR="00527D94">
        <w:t xml:space="preserve"> le 31 mars 2017</w:t>
      </w:r>
    </w:p>
    <w:p w:rsidR="00E97373" w:rsidRDefault="00E97373" w:rsidP="005D3A4E">
      <w:pPr>
        <w:rPr>
          <w:b/>
        </w:rPr>
      </w:pPr>
    </w:p>
    <w:p w:rsidR="006579B4" w:rsidRDefault="006579B4" w:rsidP="005D3A4E">
      <w:pPr>
        <w:rPr>
          <w:b/>
        </w:rPr>
      </w:pPr>
    </w:p>
    <w:p w:rsidR="006579B4" w:rsidRDefault="006579B4" w:rsidP="005D3A4E">
      <w:pPr>
        <w:rPr>
          <w:b/>
        </w:rPr>
      </w:pPr>
    </w:p>
    <w:p w:rsidR="00B948F0" w:rsidRPr="00B948F0" w:rsidRDefault="00B948F0" w:rsidP="005D3A4E">
      <w:r w:rsidRPr="00B948F0">
        <w:rPr>
          <w:b/>
        </w:rPr>
        <w:t xml:space="preserve">Pour </w:t>
      </w:r>
      <w:r w:rsidR="00330947" w:rsidRPr="00B948F0">
        <w:rPr>
          <w:b/>
        </w:rPr>
        <w:t>FIGEREC</w:t>
      </w:r>
      <w:r w:rsidRPr="00B948F0">
        <w:rPr>
          <w:b/>
        </w:rPr>
        <w:t> :</w:t>
      </w:r>
      <w:r w:rsidR="00330947">
        <w:tab/>
      </w:r>
      <w:r w:rsidR="00330947">
        <w:tab/>
      </w:r>
      <w:r w:rsidR="00330947">
        <w:tab/>
      </w:r>
      <w:r w:rsidR="00330947">
        <w:tab/>
      </w:r>
      <w:r w:rsidR="00330947">
        <w:tab/>
      </w:r>
      <w:r w:rsidR="00330947">
        <w:tab/>
      </w:r>
      <w:r w:rsidR="00330947">
        <w:tab/>
      </w:r>
      <w:r w:rsidRPr="00B948F0">
        <w:rPr>
          <w:b/>
        </w:rPr>
        <w:t xml:space="preserve">Pour </w:t>
      </w:r>
      <w:r w:rsidR="00330947" w:rsidRPr="00B948F0">
        <w:rPr>
          <w:b/>
        </w:rPr>
        <w:t>FIDUCIAIRE AUDIT EXPANSION</w:t>
      </w:r>
    </w:p>
    <w:p w:rsidR="00012432" w:rsidRPr="00012432" w:rsidRDefault="00012432" w:rsidP="005D3A4E"/>
    <w:p w:rsidR="00B948F0" w:rsidRDefault="00330947" w:rsidP="005D3A4E">
      <w:pPr>
        <w:rPr>
          <w:lang w:val="en-US"/>
        </w:rPr>
      </w:pPr>
      <w:r w:rsidRPr="00F80AA4">
        <w:rPr>
          <w:lang w:val="en-US"/>
        </w:rPr>
        <w:t>Olivier BOSSARD</w:t>
      </w:r>
      <w:r w:rsidRPr="00F80AA4">
        <w:rPr>
          <w:lang w:val="en-US"/>
        </w:rPr>
        <w:tab/>
      </w:r>
      <w:r w:rsidRPr="00F80AA4">
        <w:rPr>
          <w:lang w:val="en-US"/>
        </w:rPr>
        <w:tab/>
      </w:r>
      <w:r w:rsidRPr="00F80AA4">
        <w:rPr>
          <w:lang w:val="en-US"/>
        </w:rPr>
        <w:tab/>
      </w:r>
      <w:r w:rsidRPr="00F80AA4">
        <w:rPr>
          <w:lang w:val="en-US"/>
        </w:rPr>
        <w:tab/>
      </w:r>
      <w:r w:rsidRPr="00F80AA4">
        <w:rPr>
          <w:lang w:val="en-US"/>
        </w:rPr>
        <w:tab/>
      </w:r>
      <w:r w:rsidRPr="00F80AA4">
        <w:rPr>
          <w:lang w:val="en-US"/>
        </w:rPr>
        <w:tab/>
      </w:r>
    </w:p>
    <w:p w:rsidR="00012432" w:rsidRDefault="00012432" w:rsidP="006273AF">
      <w:pPr>
        <w:rPr>
          <w:lang w:val="en-US"/>
        </w:rPr>
      </w:pPr>
    </w:p>
    <w:p w:rsidR="006273AF" w:rsidRPr="00F80AA4" w:rsidRDefault="00420774" w:rsidP="006273AF">
      <w:pPr>
        <w:rPr>
          <w:lang w:val="en-US"/>
        </w:rPr>
      </w:pPr>
      <w:r w:rsidRPr="00F80AA4">
        <w:rPr>
          <w:lang w:val="en-US"/>
        </w:rPr>
        <w:t>Bruno FOURRIER</w:t>
      </w:r>
      <w:r w:rsidR="00B948F0">
        <w:rPr>
          <w:lang w:val="en-US"/>
        </w:rPr>
        <w:tab/>
      </w:r>
      <w:r w:rsidR="00B948F0">
        <w:rPr>
          <w:lang w:val="en-US"/>
        </w:rPr>
        <w:tab/>
      </w:r>
      <w:r w:rsidR="00B948F0">
        <w:rPr>
          <w:lang w:val="en-US"/>
        </w:rPr>
        <w:tab/>
      </w:r>
      <w:r w:rsidR="00B948F0">
        <w:rPr>
          <w:lang w:val="en-US"/>
        </w:rPr>
        <w:tab/>
      </w:r>
      <w:r w:rsidR="00B948F0">
        <w:rPr>
          <w:lang w:val="en-US"/>
        </w:rPr>
        <w:tab/>
      </w:r>
      <w:r w:rsidR="00B948F0">
        <w:rPr>
          <w:lang w:val="en-US"/>
        </w:rPr>
        <w:tab/>
      </w:r>
      <w:r w:rsidR="005626EB">
        <w:rPr>
          <w:lang w:val="en-US"/>
        </w:rPr>
        <w:t xml:space="preserve">                </w:t>
      </w:r>
      <w:r w:rsidR="00B948F0">
        <w:rPr>
          <w:lang w:val="en-US"/>
        </w:rPr>
        <w:t>Olivier BOSSA</w:t>
      </w:r>
      <w:r w:rsidR="00490C33">
        <w:rPr>
          <w:lang w:val="en-US"/>
        </w:rPr>
        <w:t>RD</w:t>
      </w:r>
    </w:p>
    <w:sectPr w:rsidR="006273AF" w:rsidRPr="00F80AA4" w:rsidSect="0023155B">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BD9" w:rsidRDefault="004A7BD9" w:rsidP="0095582F">
      <w:pPr>
        <w:spacing w:after="0" w:line="240" w:lineRule="auto"/>
      </w:pPr>
      <w:r>
        <w:separator/>
      </w:r>
    </w:p>
  </w:endnote>
  <w:endnote w:type="continuationSeparator" w:id="0">
    <w:p w:rsidR="004A7BD9" w:rsidRDefault="004A7BD9" w:rsidP="00955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0CD" w:rsidRDefault="005F20CD" w:rsidP="0095582F">
    <w:pPr>
      <w:pStyle w:val="Pieddepage"/>
    </w:pPr>
    <w:r>
      <w:t>Rapport de transparence</w:t>
    </w:r>
    <w:r w:rsidR="00490C33">
      <w:t xml:space="preserve"> </w:t>
    </w:r>
    <w:r w:rsidR="00CB0FB5">
      <w:t>2016</w:t>
    </w:r>
    <w:r>
      <w:tab/>
    </w:r>
    <w:r>
      <w:tab/>
    </w:r>
    <w:sdt>
      <w:sdtPr>
        <w:id w:val="775600420"/>
        <w:docPartObj>
          <w:docPartGallery w:val="Page Numbers (Top of Page)"/>
          <w:docPartUnique/>
        </w:docPartObj>
      </w:sdtPr>
      <w:sdtEndPr/>
      <w:sdtContent>
        <w:r w:rsidRPr="0095582F">
          <w:rPr>
            <w:sz w:val="20"/>
            <w:szCs w:val="20"/>
          </w:rPr>
          <w:t xml:space="preserve">Page </w:t>
        </w:r>
        <w:r w:rsidRPr="0095582F">
          <w:rPr>
            <w:b/>
            <w:bCs/>
            <w:sz w:val="20"/>
            <w:szCs w:val="20"/>
          </w:rPr>
          <w:fldChar w:fldCharType="begin"/>
        </w:r>
        <w:r w:rsidRPr="0095582F">
          <w:rPr>
            <w:b/>
            <w:bCs/>
            <w:sz w:val="20"/>
            <w:szCs w:val="20"/>
          </w:rPr>
          <w:instrText>PAGE</w:instrText>
        </w:r>
        <w:r w:rsidRPr="0095582F">
          <w:rPr>
            <w:b/>
            <w:bCs/>
            <w:sz w:val="20"/>
            <w:szCs w:val="20"/>
          </w:rPr>
          <w:fldChar w:fldCharType="separate"/>
        </w:r>
        <w:r w:rsidR="00295713">
          <w:rPr>
            <w:b/>
            <w:bCs/>
            <w:noProof/>
            <w:sz w:val="20"/>
            <w:szCs w:val="20"/>
          </w:rPr>
          <w:t>9</w:t>
        </w:r>
        <w:r w:rsidRPr="0095582F">
          <w:rPr>
            <w:b/>
            <w:bCs/>
            <w:sz w:val="20"/>
            <w:szCs w:val="20"/>
          </w:rPr>
          <w:fldChar w:fldCharType="end"/>
        </w:r>
        <w:r w:rsidRPr="0095582F">
          <w:rPr>
            <w:sz w:val="20"/>
            <w:szCs w:val="20"/>
          </w:rPr>
          <w:t xml:space="preserve"> sur </w:t>
        </w:r>
        <w:r w:rsidRPr="0095582F">
          <w:rPr>
            <w:b/>
            <w:bCs/>
            <w:sz w:val="20"/>
            <w:szCs w:val="20"/>
          </w:rPr>
          <w:fldChar w:fldCharType="begin"/>
        </w:r>
        <w:r w:rsidRPr="0095582F">
          <w:rPr>
            <w:b/>
            <w:bCs/>
            <w:sz w:val="20"/>
            <w:szCs w:val="20"/>
          </w:rPr>
          <w:instrText>NUMPAGES</w:instrText>
        </w:r>
        <w:r w:rsidRPr="0095582F">
          <w:rPr>
            <w:b/>
            <w:bCs/>
            <w:sz w:val="20"/>
            <w:szCs w:val="20"/>
          </w:rPr>
          <w:fldChar w:fldCharType="separate"/>
        </w:r>
        <w:r w:rsidR="00295713">
          <w:rPr>
            <w:b/>
            <w:bCs/>
            <w:noProof/>
            <w:sz w:val="20"/>
            <w:szCs w:val="20"/>
          </w:rPr>
          <w:t>11</w:t>
        </w:r>
        <w:r w:rsidRPr="0095582F">
          <w:rPr>
            <w:b/>
            <w:bCs/>
            <w:sz w:val="20"/>
            <w:szCs w:val="20"/>
          </w:rPr>
          <w:fldChar w:fldCharType="end"/>
        </w:r>
      </w:sdtContent>
    </w:sdt>
  </w:p>
  <w:p w:rsidR="005F20CD" w:rsidRDefault="005F20C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BD9" w:rsidRDefault="004A7BD9" w:rsidP="0095582F">
      <w:pPr>
        <w:spacing w:after="0" w:line="240" w:lineRule="auto"/>
      </w:pPr>
      <w:r>
        <w:separator/>
      </w:r>
    </w:p>
  </w:footnote>
  <w:footnote w:type="continuationSeparator" w:id="0">
    <w:p w:rsidR="004A7BD9" w:rsidRDefault="004A7BD9" w:rsidP="009558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0644"/>
    <w:multiLevelType w:val="multilevel"/>
    <w:tmpl w:val="E59C3EB0"/>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63A0D5D"/>
    <w:multiLevelType w:val="hybridMultilevel"/>
    <w:tmpl w:val="B3EE6366"/>
    <w:lvl w:ilvl="0" w:tplc="040C000F">
      <w:start w:val="1"/>
      <w:numFmt w:val="decimal"/>
      <w:lvlText w:val="%1."/>
      <w:lvlJc w:val="left"/>
      <w:pPr>
        <w:ind w:left="1276" w:hanging="360"/>
      </w:pPr>
    </w:lvl>
    <w:lvl w:ilvl="1" w:tplc="040C0019" w:tentative="1">
      <w:start w:val="1"/>
      <w:numFmt w:val="lowerLetter"/>
      <w:lvlText w:val="%2."/>
      <w:lvlJc w:val="left"/>
      <w:pPr>
        <w:ind w:left="1996" w:hanging="360"/>
      </w:pPr>
    </w:lvl>
    <w:lvl w:ilvl="2" w:tplc="040C001B" w:tentative="1">
      <w:start w:val="1"/>
      <w:numFmt w:val="lowerRoman"/>
      <w:lvlText w:val="%3."/>
      <w:lvlJc w:val="right"/>
      <w:pPr>
        <w:ind w:left="2716" w:hanging="180"/>
      </w:pPr>
    </w:lvl>
    <w:lvl w:ilvl="3" w:tplc="040C000F" w:tentative="1">
      <w:start w:val="1"/>
      <w:numFmt w:val="decimal"/>
      <w:lvlText w:val="%4."/>
      <w:lvlJc w:val="left"/>
      <w:pPr>
        <w:ind w:left="3436" w:hanging="360"/>
      </w:pPr>
    </w:lvl>
    <w:lvl w:ilvl="4" w:tplc="040C0019" w:tentative="1">
      <w:start w:val="1"/>
      <w:numFmt w:val="lowerLetter"/>
      <w:lvlText w:val="%5."/>
      <w:lvlJc w:val="left"/>
      <w:pPr>
        <w:ind w:left="4156" w:hanging="360"/>
      </w:pPr>
    </w:lvl>
    <w:lvl w:ilvl="5" w:tplc="040C001B" w:tentative="1">
      <w:start w:val="1"/>
      <w:numFmt w:val="lowerRoman"/>
      <w:lvlText w:val="%6."/>
      <w:lvlJc w:val="right"/>
      <w:pPr>
        <w:ind w:left="4876" w:hanging="180"/>
      </w:pPr>
    </w:lvl>
    <w:lvl w:ilvl="6" w:tplc="040C000F" w:tentative="1">
      <w:start w:val="1"/>
      <w:numFmt w:val="decimal"/>
      <w:lvlText w:val="%7."/>
      <w:lvlJc w:val="left"/>
      <w:pPr>
        <w:ind w:left="5596" w:hanging="360"/>
      </w:pPr>
    </w:lvl>
    <w:lvl w:ilvl="7" w:tplc="040C0019" w:tentative="1">
      <w:start w:val="1"/>
      <w:numFmt w:val="lowerLetter"/>
      <w:lvlText w:val="%8."/>
      <w:lvlJc w:val="left"/>
      <w:pPr>
        <w:ind w:left="6316" w:hanging="360"/>
      </w:pPr>
    </w:lvl>
    <w:lvl w:ilvl="8" w:tplc="040C001B" w:tentative="1">
      <w:start w:val="1"/>
      <w:numFmt w:val="lowerRoman"/>
      <w:lvlText w:val="%9."/>
      <w:lvlJc w:val="right"/>
      <w:pPr>
        <w:ind w:left="7036" w:hanging="180"/>
      </w:pPr>
    </w:lvl>
  </w:abstractNum>
  <w:abstractNum w:abstractNumId="2" w15:restartNumberingAfterBreak="0">
    <w:nsid w:val="0FEC7706"/>
    <w:multiLevelType w:val="multilevel"/>
    <w:tmpl w:val="E59C3EB0"/>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B3E3EB5"/>
    <w:multiLevelType w:val="multilevel"/>
    <w:tmpl w:val="04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4" w15:restartNumberingAfterBreak="0">
    <w:nsid w:val="1E600F57"/>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0FF1967"/>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438317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7D4204D"/>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F09524D"/>
    <w:multiLevelType w:val="hybridMultilevel"/>
    <w:tmpl w:val="FB3E3B84"/>
    <w:lvl w:ilvl="0" w:tplc="0E58C65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2926972"/>
    <w:multiLevelType w:val="multilevel"/>
    <w:tmpl w:val="E59C3EB0"/>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635B541B"/>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48335B5"/>
    <w:multiLevelType w:val="hybridMultilevel"/>
    <w:tmpl w:val="75FA72DC"/>
    <w:lvl w:ilvl="0" w:tplc="1C4CF6C4">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EBF6B8B"/>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3"/>
  </w:num>
  <w:num w:numId="3">
    <w:abstractNumId w:val="9"/>
  </w:num>
  <w:num w:numId="4">
    <w:abstractNumId w:val="11"/>
  </w:num>
  <w:num w:numId="5">
    <w:abstractNumId w:val="8"/>
  </w:num>
  <w:num w:numId="6">
    <w:abstractNumId w:val="2"/>
  </w:num>
  <w:num w:numId="7">
    <w:abstractNumId w:val="3"/>
  </w:num>
  <w:num w:numId="8">
    <w:abstractNumId w:val="7"/>
  </w:num>
  <w:num w:numId="9">
    <w:abstractNumId w:val="3"/>
    <w:lvlOverride w:ilvl="0">
      <w:startOverride w:val="2"/>
    </w:lvlOverride>
  </w:num>
  <w:num w:numId="10">
    <w:abstractNumId w:val="3"/>
    <w:lvlOverride w:ilvl="0">
      <w:startOverride w:val="1"/>
    </w:lvlOverride>
  </w:num>
  <w:num w:numId="11">
    <w:abstractNumId w:val="6"/>
  </w:num>
  <w:num w:numId="12">
    <w:abstractNumId w:val="10"/>
  </w:num>
  <w:num w:numId="13">
    <w:abstractNumId w:val="4"/>
  </w:num>
  <w:num w:numId="14">
    <w:abstractNumId w:val="1"/>
  </w:num>
  <w:num w:numId="15">
    <w:abstractNumId w:val="1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F9C"/>
    <w:rsid w:val="00012432"/>
    <w:rsid w:val="000844D5"/>
    <w:rsid w:val="000A3ED9"/>
    <w:rsid w:val="000B4C5C"/>
    <w:rsid w:val="0010319C"/>
    <w:rsid w:val="00141A02"/>
    <w:rsid w:val="00175DEA"/>
    <w:rsid w:val="001A2864"/>
    <w:rsid w:val="001A74B3"/>
    <w:rsid w:val="00230718"/>
    <w:rsid w:val="0023155B"/>
    <w:rsid w:val="00240D84"/>
    <w:rsid w:val="00245E4B"/>
    <w:rsid w:val="00257249"/>
    <w:rsid w:val="00265F22"/>
    <w:rsid w:val="00295713"/>
    <w:rsid w:val="002C2E4F"/>
    <w:rsid w:val="002C430C"/>
    <w:rsid w:val="002F469A"/>
    <w:rsid w:val="00302BDF"/>
    <w:rsid w:val="00313100"/>
    <w:rsid w:val="00315593"/>
    <w:rsid w:val="00317C95"/>
    <w:rsid w:val="003276C3"/>
    <w:rsid w:val="00330947"/>
    <w:rsid w:val="0039032E"/>
    <w:rsid w:val="003960A1"/>
    <w:rsid w:val="003A4AE7"/>
    <w:rsid w:val="00410E78"/>
    <w:rsid w:val="00413258"/>
    <w:rsid w:val="00420774"/>
    <w:rsid w:val="004754C1"/>
    <w:rsid w:val="00490C33"/>
    <w:rsid w:val="004A7BD9"/>
    <w:rsid w:val="004D427F"/>
    <w:rsid w:val="004E10C1"/>
    <w:rsid w:val="004E3AB6"/>
    <w:rsid w:val="00527D94"/>
    <w:rsid w:val="005626EB"/>
    <w:rsid w:val="0058439E"/>
    <w:rsid w:val="005B053A"/>
    <w:rsid w:val="005D0D3B"/>
    <w:rsid w:val="005D21CA"/>
    <w:rsid w:val="005D2591"/>
    <w:rsid w:val="005D3A4E"/>
    <w:rsid w:val="005D58CB"/>
    <w:rsid w:val="005E5846"/>
    <w:rsid w:val="005F20CD"/>
    <w:rsid w:val="006273AF"/>
    <w:rsid w:val="00632FCE"/>
    <w:rsid w:val="00655F99"/>
    <w:rsid w:val="006579B4"/>
    <w:rsid w:val="00680D30"/>
    <w:rsid w:val="00686751"/>
    <w:rsid w:val="006A77AC"/>
    <w:rsid w:val="00750987"/>
    <w:rsid w:val="007825E3"/>
    <w:rsid w:val="00796BEB"/>
    <w:rsid w:val="007E6B20"/>
    <w:rsid w:val="0080758F"/>
    <w:rsid w:val="00854E1D"/>
    <w:rsid w:val="0087075E"/>
    <w:rsid w:val="00896266"/>
    <w:rsid w:val="008D66C4"/>
    <w:rsid w:val="008D6D93"/>
    <w:rsid w:val="008E2695"/>
    <w:rsid w:val="008F22E0"/>
    <w:rsid w:val="00937F5B"/>
    <w:rsid w:val="00953768"/>
    <w:rsid w:val="0095582F"/>
    <w:rsid w:val="00972A24"/>
    <w:rsid w:val="009B2B5B"/>
    <w:rsid w:val="009D4027"/>
    <w:rsid w:val="00A0054E"/>
    <w:rsid w:val="00A16D94"/>
    <w:rsid w:val="00A202EC"/>
    <w:rsid w:val="00A362B1"/>
    <w:rsid w:val="00A642A7"/>
    <w:rsid w:val="00AB65D4"/>
    <w:rsid w:val="00AE037A"/>
    <w:rsid w:val="00B21BD5"/>
    <w:rsid w:val="00B948F0"/>
    <w:rsid w:val="00BA1DFD"/>
    <w:rsid w:val="00BC4D7B"/>
    <w:rsid w:val="00C05F87"/>
    <w:rsid w:val="00C15CA6"/>
    <w:rsid w:val="00C81453"/>
    <w:rsid w:val="00C87970"/>
    <w:rsid w:val="00CB0FB5"/>
    <w:rsid w:val="00CB571B"/>
    <w:rsid w:val="00D57266"/>
    <w:rsid w:val="00D71F9C"/>
    <w:rsid w:val="00D7725A"/>
    <w:rsid w:val="00DD3249"/>
    <w:rsid w:val="00E1078F"/>
    <w:rsid w:val="00E25ED9"/>
    <w:rsid w:val="00E45455"/>
    <w:rsid w:val="00E85725"/>
    <w:rsid w:val="00E97373"/>
    <w:rsid w:val="00EF418E"/>
    <w:rsid w:val="00EF5811"/>
    <w:rsid w:val="00F135CE"/>
    <w:rsid w:val="00F46720"/>
    <w:rsid w:val="00F80969"/>
    <w:rsid w:val="00F80AA4"/>
    <w:rsid w:val="00FB3736"/>
    <w:rsid w:val="00FD2B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C0109F"/>
  <w15:docId w15:val="{320FC555-C3C6-412B-B5B2-ECBE58760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F9C"/>
    <w:pPr>
      <w:spacing w:line="256" w:lineRule="auto"/>
    </w:pPr>
  </w:style>
  <w:style w:type="paragraph" w:styleId="Titre1">
    <w:name w:val="heading 1"/>
    <w:basedOn w:val="Normal"/>
    <w:next w:val="Normal"/>
    <w:link w:val="Titre1Car"/>
    <w:uiPriority w:val="9"/>
    <w:qFormat/>
    <w:rsid w:val="00D71F9C"/>
    <w:pPr>
      <w:keepNext/>
      <w:keepLines/>
      <w:numPr>
        <w:numId w:val="7"/>
      </w:numPr>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D71F9C"/>
    <w:pPr>
      <w:keepNext/>
      <w:keepLines/>
      <w:numPr>
        <w:ilvl w:val="1"/>
        <w:numId w:val="7"/>
      </w:numPr>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D71F9C"/>
    <w:pPr>
      <w:keepNext/>
      <w:keepLines/>
      <w:numPr>
        <w:ilvl w:val="2"/>
        <w:numId w:val="7"/>
      </w:numPr>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unhideWhenUsed/>
    <w:qFormat/>
    <w:rsid w:val="00D71F9C"/>
    <w:pPr>
      <w:keepNext/>
      <w:keepLines/>
      <w:numPr>
        <w:ilvl w:val="3"/>
        <w:numId w:val="7"/>
      </w:numPr>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unhideWhenUsed/>
    <w:qFormat/>
    <w:rsid w:val="00D71F9C"/>
    <w:pPr>
      <w:keepNext/>
      <w:keepLines/>
      <w:numPr>
        <w:ilvl w:val="4"/>
        <w:numId w:val="7"/>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D71F9C"/>
    <w:pPr>
      <w:keepNext/>
      <w:keepLines/>
      <w:numPr>
        <w:ilvl w:val="5"/>
        <w:numId w:val="7"/>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D71F9C"/>
    <w:pPr>
      <w:keepNext/>
      <w:keepLines/>
      <w:numPr>
        <w:ilvl w:val="6"/>
        <w:numId w:val="7"/>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D71F9C"/>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D71F9C"/>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71F9C"/>
    <w:pPr>
      <w:ind w:left="720"/>
      <w:contextualSpacing/>
    </w:pPr>
  </w:style>
  <w:style w:type="character" w:customStyle="1" w:styleId="Titre1Car">
    <w:name w:val="Titre 1 Car"/>
    <w:basedOn w:val="Policepardfaut"/>
    <w:link w:val="Titre1"/>
    <w:uiPriority w:val="9"/>
    <w:rsid w:val="00D71F9C"/>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D71F9C"/>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D71F9C"/>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rsid w:val="00D71F9C"/>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rsid w:val="00D71F9C"/>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D71F9C"/>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D71F9C"/>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D71F9C"/>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D71F9C"/>
    <w:rPr>
      <w:rFonts w:asciiTheme="majorHAnsi" w:eastAsiaTheme="majorEastAsia" w:hAnsiTheme="majorHAnsi" w:cstheme="majorBidi"/>
      <w:i/>
      <w:iCs/>
      <w:color w:val="272727" w:themeColor="text1" w:themeTint="D8"/>
      <w:sz w:val="21"/>
      <w:szCs w:val="21"/>
    </w:rPr>
  </w:style>
  <w:style w:type="table" w:styleId="Grilledutableau">
    <w:name w:val="Table Grid"/>
    <w:basedOn w:val="TableauNormal"/>
    <w:uiPriority w:val="39"/>
    <w:rsid w:val="00854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95582F"/>
    <w:pPr>
      <w:tabs>
        <w:tab w:val="center" w:pos="4536"/>
        <w:tab w:val="right" w:pos="9072"/>
      </w:tabs>
      <w:spacing w:after="0" w:line="240" w:lineRule="auto"/>
    </w:pPr>
  </w:style>
  <w:style w:type="character" w:customStyle="1" w:styleId="En-tteCar">
    <w:name w:val="En-tête Car"/>
    <w:basedOn w:val="Policepardfaut"/>
    <w:link w:val="En-tte"/>
    <w:uiPriority w:val="99"/>
    <w:rsid w:val="0095582F"/>
  </w:style>
  <w:style w:type="paragraph" w:styleId="Pieddepage">
    <w:name w:val="footer"/>
    <w:basedOn w:val="Normal"/>
    <w:link w:val="PieddepageCar"/>
    <w:uiPriority w:val="99"/>
    <w:unhideWhenUsed/>
    <w:rsid w:val="0095582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5582F"/>
  </w:style>
  <w:style w:type="paragraph" w:styleId="Textedebulles">
    <w:name w:val="Balloon Text"/>
    <w:basedOn w:val="Normal"/>
    <w:link w:val="TextedebullesCar"/>
    <w:uiPriority w:val="99"/>
    <w:semiHidden/>
    <w:unhideWhenUsed/>
    <w:rsid w:val="00A16D9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16D94"/>
    <w:rPr>
      <w:rFonts w:ascii="Segoe UI" w:hAnsi="Segoe UI" w:cs="Segoe UI"/>
      <w:sz w:val="18"/>
      <w:szCs w:val="18"/>
    </w:rPr>
  </w:style>
  <w:style w:type="paragraph" w:styleId="Sansinterligne">
    <w:name w:val="No Spacing"/>
    <w:uiPriority w:val="1"/>
    <w:qFormat/>
    <w:rsid w:val="008962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13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Feuille_de_calcul_Microsoft_Excel.xlsx"/></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0890B-B875-4576-93EA-E6306E218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2402</Words>
  <Characters>13214</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
    </vt:vector>
  </TitlesOfParts>
  <Company>Cabinet Bossard</Company>
  <LinksUpToDate>false</LinksUpToDate>
  <CharactersWithSpaces>15585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Cabinet Bossard</dc:creator>
  <cp:lastModifiedBy>Olivier Moreau</cp:lastModifiedBy>
  <cp:revision>3</cp:revision>
  <cp:lastPrinted>2016-05-25T07:53:00Z</cp:lastPrinted>
  <dcterms:created xsi:type="dcterms:W3CDTF">2018-02-06T10:18:00Z</dcterms:created>
  <dcterms:modified xsi:type="dcterms:W3CDTF">2018-02-06T10:18:00Z</dcterms:modified>
</cp:coreProperties>
</file>